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A5769" w14:textId="77777777" w:rsidR="00883F60" w:rsidRPr="00DB34B5" w:rsidRDefault="00883F60" w:rsidP="00860D06">
      <w:pPr>
        <w:pStyle w:val="Title"/>
        <w:rPr>
          <w:rFonts w:ascii="Times New Roman" w:hAnsi="Times New Roman"/>
        </w:rPr>
      </w:pPr>
      <w:r w:rsidRPr="00DB34B5">
        <w:rPr>
          <w:rFonts w:ascii="Times New Roman" w:hAnsi="Times New Roman"/>
        </w:rPr>
        <w:t>AAAE Submission &amp; Review Manager’s Report</w:t>
      </w:r>
    </w:p>
    <w:p w14:paraId="47E8406B" w14:textId="560F5274" w:rsidR="00A603AC" w:rsidRPr="00DB34B5" w:rsidRDefault="000A61FF" w:rsidP="008B7DF7">
      <w:pPr>
        <w:pStyle w:val="Subtitle"/>
        <w:rPr>
          <w:rFonts w:ascii="Times New Roman" w:hAnsi="Times New Roman" w:cs="Times New Roman"/>
        </w:rPr>
      </w:pPr>
      <w:r w:rsidRPr="00DB34B5">
        <w:rPr>
          <w:rFonts w:ascii="Times New Roman" w:hAnsi="Times New Roman" w:cs="Times New Roman"/>
        </w:rPr>
        <w:t xml:space="preserve">Presented </w:t>
      </w:r>
      <w:r w:rsidR="0091145E">
        <w:rPr>
          <w:rFonts w:ascii="Times New Roman" w:hAnsi="Times New Roman" w:cs="Times New Roman"/>
        </w:rPr>
        <w:t>May 22, 2019</w:t>
      </w:r>
      <w:r w:rsidR="004C4A0F">
        <w:rPr>
          <w:rFonts w:ascii="Times New Roman" w:hAnsi="Times New Roman" w:cs="Times New Roman"/>
        </w:rPr>
        <w:t xml:space="preserve"> by John </w:t>
      </w:r>
      <w:proofErr w:type="spellStart"/>
      <w:r w:rsidR="004C4A0F">
        <w:rPr>
          <w:rFonts w:ascii="Times New Roman" w:hAnsi="Times New Roman" w:cs="Times New Roman"/>
        </w:rPr>
        <w:t>Rayfield</w:t>
      </w:r>
      <w:proofErr w:type="spellEnd"/>
      <w:r w:rsidRPr="00DB34B5">
        <w:rPr>
          <w:rFonts w:ascii="Times New Roman" w:hAnsi="Times New Roman" w:cs="Times New Roman"/>
        </w:rPr>
        <w:t xml:space="preserve">, </w:t>
      </w:r>
      <w:r w:rsidR="00C82E8F">
        <w:rPr>
          <w:rFonts w:ascii="Times New Roman" w:hAnsi="Times New Roman" w:cs="Times New Roman"/>
        </w:rPr>
        <w:t>2016-2019</w:t>
      </w:r>
      <w:r w:rsidRPr="00DB34B5">
        <w:rPr>
          <w:rFonts w:ascii="Times New Roman" w:hAnsi="Times New Roman" w:cs="Times New Roman"/>
        </w:rPr>
        <w:t xml:space="preserve"> Manager</w:t>
      </w:r>
    </w:p>
    <w:p w14:paraId="33FC2A94" w14:textId="77777777" w:rsidR="00883F60" w:rsidRPr="003279A9" w:rsidRDefault="00883F60" w:rsidP="00A603AC">
      <w:pPr>
        <w:pStyle w:val="Heading1"/>
        <w:rPr>
          <w:rFonts w:ascii="Times New Roman" w:hAnsi="Times New Roman" w:cs="Times New Roman"/>
          <w:sz w:val="24"/>
          <w:szCs w:val="24"/>
        </w:rPr>
      </w:pPr>
      <w:r w:rsidRPr="003279A9">
        <w:rPr>
          <w:rFonts w:ascii="Times New Roman" w:hAnsi="Times New Roman" w:cs="Times New Roman"/>
          <w:sz w:val="24"/>
          <w:szCs w:val="24"/>
        </w:rPr>
        <w:t>Process Summary</w:t>
      </w:r>
    </w:p>
    <w:p w14:paraId="735DC0D3" w14:textId="0991D833" w:rsidR="00906CF8" w:rsidRPr="003279A9" w:rsidRDefault="0091145E" w:rsidP="00860D06">
      <w:pPr>
        <w:spacing w:before="200" w:after="120"/>
        <w:rPr>
          <w:rFonts w:ascii="Times New Roman" w:hAnsi="Times New Roman"/>
          <w:sz w:val="24"/>
        </w:rPr>
      </w:pPr>
      <w:r>
        <w:rPr>
          <w:rFonts w:ascii="Times New Roman" w:hAnsi="Times New Roman"/>
          <w:sz w:val="24"/>
        </w:rPr>
        <w:t>During 2018-2019</w:t>
      </w:r>
      <w:r w:rsidR="00DA6D18">
        <w:rPr>
          <w:rFonts w:ascii="Times New Roman" w:hAnsi="Times New Roman"/>
          <w:sz w:val="24"/>
        </w:rPr>
        <w:t>,</w:t>
      </w:r>
      <w:r w:rsidR="00B04F32">
        <w:rPr>
          <w:rFonts w:ascii="Times New Roman" w:hAnsi="Times New Roman"/>
          <w:sz w:val="24"/>
        </w:rPr>
        <w:t xml:space="preserve"> </w:t>
      </w:r>
      <w:r w:rsidR="00E4312E">
        <w:rPr>
          <w:rFonts w:ascii="Times New Roman" w:hAnsi="Times New Roman"/>
          <w:sz w:val="24"/>
        </w:rPr>
        <w:t>Tota</w:t>
      </w:r>
      <w:r w:rsidR="00484C9F">
        <w:rPr>
          <w:rFonts w:ascii="Times New Roman" w:hAnsi="Times New Roman"/>
          <w:sz w:val="24"/>
        </w:rPr>
        <w:t>l number of paper submissions decreased.</w:t>
      </w:r>
      <w:r w:rsidR="00E4312E">
        <w:rPr>
          <w:rFonts w:ascii="Times New Roman" w:hAnsi="Times New Roman"/>
          <w:sz w:val="24"/>
        </w:rPr>
        <w:t xml:space="preserve"> </w:t>
      </w:r>
      <w:r w:rsidR="00B04F32">
        <w:rPr>
          <w:rFonts w:ascii="Times New Roman" w:hAnsi="Times New Roman"/>
          <w:sz w:val="24"/>
        </w:rPr>
        <w:t>T</w:t>
      </w:r>
      <w:r w:rsidR="00FA1443">
        <w:rPr>
          <w:rFonts w:ascii="Times New Roman" w:hAnsi="Times New Roman"/>
          <w:sz w:val="24"/>
        </w:rPr>
        <w:t>he length of time t</w:t>
      </w:r>
      <w:r w:rsidR="00B04F32">
        <w:rPr>
          <w:rFonts w:ascii="Times New Roman" w:hAnsi="Times New Roman"/>
          <w:sz w:val="24"/>
        </w:rPr>
        <w:t>o compl</w:t>
      </w:r>
      <w:r w:rsidR="00E4312E">
        <w:rPr>
          <w:rFonts w:ascii="Times New Roman" w:hAnsi="Times New Roman"/>
          <w:sz w:val="24"/>
        </w:rPr>
        <w:t>ete the revi</w:t>
      </w:r>
      <w:r w:rsidR="00DC2B7C">
        <w:rPr>
          <w:rFonts w:ascii="Times New Roman" w:hAnsi="Times New Roman"/>
          <w:sz w:val="24"/>
        </w:rPr>
        <w:t>ew process increased</w:t>
      </w:r>
      <w:r w:rsidR="00E4312E">
        <w:rPr>
          <w:rFonts w:ascii="Times New Roman" w:hAnsi="Times New Roman"/>
          <w:sz w:val="24"/>
        </w:rPr>
        <w:t xml:space="preserve"> from last year</w:t>
      </w:r>
      <w:r w:rsidR="00FA1443">
        <w:rPr>
          <w:rFonts w:ascii="Times New Roman" w:hAnsi="Times New Roman"/>
          <w:sz w:val="24"/>
        </w:rPr>
        <w:t xml:space="preserve"> </w:t>
      </w:r>
      <w:r w:rsidR="003279A9" w:rsidRPr="003279A9">
        <w:rPr>
          <w:rFonts w:ascii="Times New Roman" w:hAnsi="Times New Roman"/>
          <w:sz w:val="24"/>
        </w:rPr>
        <w:t>(Table 1)</w:t>
      </w:r>
      <w:r w:rsidR="00906CF8" w:rsidRPr="003279A9">
        <w:rPr>
          <w:rFonts w:ascii="Times New Roman" w:hAnsi="Times New Roman"/>
          <w:sz w:val="24"/>
        </w:rPr>
        <w:t>.</w:t>
      </w:r>
    </w:p>
    <w:p w14:paraId="7B179A4A" w14:textId="77777777" w:rsidR="00DB34B5" w:rsidRPr="003279A9" w:rsidRDefault="00DB34B5" w:rsidP="00DB34B5">
      <w:pPr>
        <w:spacing w:before="60" w:after="60"/>
        <w:ind w:left="270"/>
        <w:rPr>
          <w:rFonts w:ascii="Times New Roman" w:hAnsi="Times New Roman"/>
          <w:sz w:val="24"/>
        </w:rPr>
      </w:pPr>
      <w:r w:rsidRPr="003279A9">
        <w:rPr>
          <w:rFonts w:ascii="Times New Roman" w:hAnsi="Times New Roman"/>
          <w:sz w:val="24"/>
        </w:rPr>
        <w:t xml:space="preserve">Table 1: </w:t>
      </w:r>
    </w:p>
    <w:p w14:paraId="5386FE98" w14:textId="2345E14F" w:rsidR="00DB34B5" w:rsidRPr="003279A9" w:rsidRDefault="00DB34B5" w:rsidP="00DB34B5">
      <w:pPr>
        <w:spacing w:before="60" w:after="120"/>
        <w:ind w:left="274"/>
        <w:rPr>
          <w:rFonts w:ascii="Times New Roman" w:hAnsi="Times New Roman"/>
          <w:sz w:val="24"/>
        </w:rPr>
      </w:pPr>
      <w:r w:rsidRPr="003279A9">
        <w:rPr>
          <w:rFonts w:ascii="Times New Roman" w:hAnsi="Times New Roman"/>
          <w:i/>
          <w:sz w:val="24"/>
        </w:rPr>
        <w:t>Submissions, Number of Review</w:t>
      </w:r>
      <w:r w:rsidR="0008064B">
        <w:rPr>
          <w:rFonts w:ascii="Times New Roman" w:hAnsi="Times New Roman"/>
          <w:i/>
          <w:sz w:val="24"/>
        </w:rPr>
        <w:t>er</w:t>
      </w:r>
      <w:r w:rsidRPr="003279A9">
        <w:rPr>
          <w:rFonts w:ascii="Times New Roman" w:hAnsi="Times New Roman"/>
          <w:i/>
          <w:sz w:val="24"/>
        </w:rPr>
        <w:t xml:space="preserve">s and </w:t>
      </w:r>
      <w:r w:rsidR="0008064B">
        <w:rPr>
          <w:rFonts w:ascii="Times New Roman" w:hAnsi="Times New Roman"/>
          <w:i/>
          <w:sz w:val="24"/>
        </w:rPr>
        <w:t>Days</w:t>
      </w:r>
      <w:r w:rsidRPr="003279A9">
        <w:rPr>
          <w:rFonts w:ascii="Times New Roman" w:hAnsi="Times New Roman"/>
          <w:i/>
          <w:sz w:val="24"/>
        </w:rPr>
        <w:t xml:space="preserve"> to Complete Review Process by Conference</w:t>
      </w:r>
    </w:p>
    <w:tbl>
      <w:tblPr>
        <w:tblStyle w:val="TableGrid"/>
        <w:tblW w:w="9360" w:type="dxa"/>
        <w:jc w:val="center"/>
        <w:tblLayout w:type="fixed"/>
        <w:tblLook w:val="00A0" w:firstRow="1" w:lastRow="0" w:firstColumn="1" w:lastColumn="0" w:noHBand="0" w:noVBand="0"/>
      </w:tblPr>
      <w:tblGrid>
        <w:gridCol w:w="1696"/>
        <w:gridCol w:w="957"/>
        <w:gridCol w:w="957"/>
        <w:gridCol w:w="957"/>
        <w:gridCol w:w="959"/>
        <w:gridCol w:w="958"/>
        <w:gridCol w:w="958"/>
        <w:gridCol w:w="959"/>
        <w:gridCol w:w="959"/>
      </w:tblGrid>
      <w:tr w:rsidR="00CB7EC6" w:rsidRPr="00DB34B5" w14:paraId="4B789915" w14:textId="37E5782D" w:rsidTr="00B86ED4">
        <w:trPr>
          <w:trHeight w:val="44"/>
          <w:jc w:val="center"/>
        </w:trPr>
        <w:tc>
          <w:tcPr>
            <w:tcW w:w="1750" w:type="dxa"/>
            <w:vMerge w:val="restart"/>
            <w:tcBorders>
              <w:right w:val="double" w:sz="4" w:space="0" w:color="auto"/>
            </w:tcBorders>
            <w:shd w:val="clear" w:color="auto" w:fill="000000" w:themeFill="text1"/>
            <w:vAlign w:val="bottom"/>
          </w:tcPr>
          <w:p w14:paraId="7CE1F4D7" w14:textId="77777777" w:rsidR="00CB7EC6" w:rsidRPr="00DB34B5" w:rsidRDefault="00CB7EC6" w:rsidP="00906CF8">
            <w:pPr>
              <w:spacing w:before="60" w:after="60"/>
              <w:jc w:val="center"/>
              <w:rPr>
                <w:rFonts w:ascii="Times New Roman" w:hAnsi="Times New Roman"/>
                <w:b/>
                <w:color w:val="FFFFFF" w:themeColor="background1"/>
                <w:sz w:val="20"/>
              </w:rPr>
            </w:pPr>
            <w:r w:rsidRPr="00DB34B5">
              <w:rPr>
                <w:rFonts w:ascii="Times New Roman" w:hAnsi="Times New Roman"/>
                <w:b/>
                <w:color w:val="FFFFFF" w:themeColor="background1"/>
                <w:sz w:val="20"/>
              </w:rPr>
              <w:t>Conference</w:t>
            </w:r>
          </w:p>
        </w:tc>
        <w:tc>
          <w:tcPr>
            <w:tcW w:w="2952" w:type="dxa"/>
            <w:gridSpan w:val="3"/>
            <w:tcBorders>
              <w:left w:val="double" w:sz="4" w:space="0" w:color="auto"/>
              <w:right w:val="double" w:sz="4" w:space="0" w:color="auto"/>
            </w:tcBorders>
            <w:shd w:val="clear" w:color="auto" w:fill="000000" w:themeFill="text1"/>
          </w:tcPr>
          <w:p w14:paraId="037AE454" w14:textId="171342D5" w:rsidR="00CB7EC6" w:rsidRPr="00DB34B5" w:rsidRDefault="00CB7EC6" w:rsidP="00883F60">
            <w:pPr>
              <w:spacing w:before="60" w:after="60"/>
              <w:jc w:val="center"/>
              <w:rPr>
                <w:rFonts w:ascii="Times New Roman" w:hAnsi="Times New Roman"/>
                <w:b/>
                <w:color w:val="FFFFFF" w:themeColor="background1"/>
                <w:sz w:val="20"/>
              </w:rPr>
            </w:pPr>
            <w:r w:rsidRPr="00DB34B5">
              <w:rPr>
                <w:rFonts w:ascii="Times New Roman" w:hAnsi="Times New Roman"/>
                <w:b/>
                <w:color w:val="FFFFFF" w:themeColor="background1"/>
                <w:sz w:val="20"/>
              </w:rPr>
              <w:t># of Submissions</w:t>
            </w:r>
          </w:p>
        </w:tc>
        <w:tc>
          <w:tcPr>
            <w:tcW w:w="1969" w:type="dxa"/>
            <w:gridSpan w:val="2"/>
            <w:tcBorders>
              <w:left w:val="double" w:sz="4" w:space="0" w:color="auto"/>
              <w:right w:val="double" w:sz="4" w:space="0" w:color="auto"/>
            </w:tcBorders>
            <w:shd w:val="clear" w:color="auto" w:fill="000000" w:themeFill="text1"/>
          </w:tcPr>
          <w:p w14:paraId="4756DBF1" w14:textId="26214FA9" w:rsidR="00CB7EC6" w:rsidRPr="00DB34B5" w:rsidRDefault="00CB7EC6" w:rsidP="00883F60">
            <w:pPr>
              <w:spacing w:before="60" w:after="60"/>
              <w:jc w:val="center"/>
              <w:rPr>
                <w:rFonts w:ascii="Times New Roman" w:hAnsi="Times New Roman"/>
                <w:b/>
                <w:color w:val="FFFFFF" w:themeColor="background1"/>
                <w:sz w:val="20"/>
              </w:rPr>
            </w:pPr>
            <w:r w:rsidRPr="00DB34B5">
              <w:rPr>
                <w:rFonts w:ascii="Times New Roman" w:hAnsi="Times New Roman"/>
                <w:b/>
                <w:color w:val="FFFFFF" w:themeColor="background1"/>
                <w:sz w:val="20"/>
              </w:rPr>
              <w:t># Reviewers</w:t>
            </w:r>
          </w:p>
        </w:tc>
        <w:tc>
          <w:tcPr>
            <w:tcW w:w="2954" w:type="dxa"/>
            <w:gridSpan w:val="3"/>
            <w:tcBorders>
              <w:left w:val="double" w:sz="4" w:space="0" w:color="auto"/>
            </w:tcBorders>
            <w:shd w:val="clear" w:color="auto" w:fill="000000" w:themeFill="text1"/>
          </w:tcPr>
          <w:p w14:paraId="79403341" w14:textId="3C98986E" w:rsidR="00CB7EC6" w:rsidRPr="00DB34B5" w:rsidRDefault="00FA1443" w:rsidP="00883F60">
            <w:pPr>
              <w:spacing w:before="60" w:after="60"/>
              <w:jc w:val="center"/>
              <w:rPr>
                <w:rFonts w:ascii="Times New Roman" w:hAnsi="Times New Roman"/>
                <w:b/>
                <w:color w:val="FFFFFF" w:themeColor="background1"/>
                <w:sz w:val="20"/>
              </w:rPr>
            </w:pPr>
            <w:r>
              <w:rPr>
                <w:rFonts w:ascii="Times New Roman" w:hAnsi="Times New Roman"/>
                <w:b/>
                <w:color w:val="FFFFFF" w:themeColor="background1"/>
                <w:sz w:val="20"/>
              </w:rPr>
              <w:t>Days</w:t>
            </w:r>
            <w:r w:rsidR="00CB7EC6" w:rsidRPr="00DB34B5">
              <w:rPr>
                <w:rFonts w:ascii="Times New Roman" w:hAnsi="Times New Roman"/>
                <w:b/>
                <w:color w:val="FFFFFF" w:themeColor="background1"/>
                <w:sz w:val="20"/>
              </w:rPr>
              <w:t xml:space="preserve"> to Complete</w:t>
            </w:r>
          </w:p>
        </w:tc>
      </w:tr>
      <w:tr w:rsidR="00CB7EC6" w:rsidRPr="00DB34B5" w14:paraId="0F4FAA87" w14:textId="2EFB4DCF" w:rsidTr="00B86ED4">
        <w:trPr>
          <w:trHeight w:val="41"/>
          <w:jc w:val="center"/>
        </w:trPr>
        <w:tc>
          <w:tcPr>
            <w:tcW w:w="1750" w:type="dxa"/>
            <w:vMerge/>
            <w:tcBorders>
              <w:right w:val="double" w:sz="4" w:space="0" w:color="auto"/>
            </w:tcBorders>
          </w:tcPr>
          <w:p w14:paraId="779F5A71" w14:textId="77777777" w:rsidR="00CB7EC6" w:rsidRPr="00DB34B5" w:rsidRDefault="00CB7EC6" w:rsidP="00906CF8">
            <w:pPr>
              <w:spacing w:before="120" w:after="120"/>
              <w:jc w:val="center"/>
              <w:rPr>
                <w:rFonts w:ascii="Times New Roman" w:hAnsi="Times New Roman"/>
                <w:sz w:val="20"/>
              </w:rPr>
            </w:pPr>
          </w:p>
        </w:tc>
        <w:tc>
          <w:tcPr>
            <w:tcW w:w="984" w:type="dxa"/>
            <w:tcBorders>
              <w:left w:val="double" w:sz="4" w:space="0" w:color="auto"/>
            </w:tcBorders>
            <w:shd w:val="clear" w:color="auto" w:fill="BFBFBF" w:themeFill="background1" w:themeFillShade="BF"/>
          </w:tcPr>
          <w:p w14:paraId="375D9B2F" w14:textId="0B29F0CC" w:rsidR="00CB7EC6" w:rsidRPr="00906CF8" w:rsidRDefault="0091145E" w:rsidP="00906CF8">
            <w:pPr>
              <w:spacing w:before="60" w:after="60"/>
              <w:ind w:left="-144" w:right="-144"/>
              <w:jc w:val="center"/>
              <w:rPr>
                <w:rFonts w:ascii="Times New Roman" w:hAnsi="Times New Roman"/>
                <w:sz w:val="18"/>
                <w:szCs w:val="18"/>
              </w:rPr>
            </w:pPr>
            <w:r>
              <w:rPr>
                <w:rFonts w:ascii="Times New Roman" w:hAnsi="Times New Roman"/>
                <w:sz w:val="18"/>
                <w:szCs w:val="18"/>
              </w:rPr>
              <w:t>2017</w:t>
            </w:r>
            <w:r w:rsidR="00F77A8B">
              <w:rPr>
                <w:rFonts w:ascii="Times New Roman" w:hAnsi="Times New Roman"/>
                <w:sz w:val="18"/>
                <w:szCs w:val="18"/>
              </w:rPr>
              <w:t>-2018</w:t>
            </w:r>
          </w:p>
        </w:tc>
        <w:tc>
          <w:tcPr>
            <w:tcW w:w="984" w:type="dxa"/>
            <w:shd w:val="clear" w:color="auto" w:fill="BFBFBF" w:themeFill="background1" w:themeFillShade="BF"/>
          </w:tcPr>
          <w:p w14:paraId="67B97F60" w14:textId="6307755C" w:rsidR="00CB7EC6" w:rsidRDefault="0091145E" w:rsidP="00906CF8">
            <w:pPr>
              <w:spacing w:before="60" w:after="60"/>
              <w:ind w:left="-144" w:right="-144"/>
              <w:jc w:val="center"/>
              <w:rPr>
                <w:rFonts w:ascii="Times New Roman" w:hAnsi="Times New Roman"/>
                <w:sz w:val="18"/>
                <w:szCs w:val="18"/>
              </w:rPr>
            </w:pPr>
            <w:r>
              <w:rPr>
                <w:rFonts w:ascii="Times New Roman" w:hAnsi="Times New Roman"/>
                <w:sz w:val="18"/>
                <w:szCs w:val="18"/>
              </w:rPr>
              <w:t>2018</w:t>
            </w:r>
            <w:r w:rsidR="00F77A8B">
              <w:rPr>
                <w:rFonts w:ascii="Times New Roman" w:hAnsi="Times New Roman"/>
                <w:sz w:val="18"/>
                <w:szCs w:val="18"/>
              </w:rPr>
              <w:t>-2019</w:t>
            </w:r>
          </w:p>
        </w:tc>
        <w:tc>
          <w:tcPr>
            <w:tcW w:w="984" w:type="dxa"/>
            <w:shd w:val="clear" w:color="auto" w:fill="BFBFBF" w:themeFill="background1" w:themeFillShade="BF"/>
          </w:tcPr>
          <w:p w14:paraId="1D1736EA" w14:textId="0C974F04" w:rsidR="00CB7EC6" w:rsidRPr="00906CF8" w:rsidRDefault="00CB7EC6" w:rsidP="00906CF8">
            <w:pPr>
              <w:spacing w:before="60" w:after="60"/>
              <w:ind w:left="-144" w:right="-144"/>
              <w:jc w:val="center"/>
              <w:rPr>
                <w:rFonts w:ascii="Times New Roman" w:hAnsi="Times New Roman"/>
                <w:sz w:val="18"/>
                <w:szCs w:val="18"/>
              </w:rPr>
            </w:pPr>
            <w:r>
              <w:rPr>
                <w:rFonts w:ascii="Times New Roman" w:hAnsi="Times New Roman"/>
                <w:sz w:val="18"/>
                <w:szCs w:val="18"/>
              </w:rPr>
              <w:t>% Change</w:t>
            </w:r>
          </w:p>
        </w:tc>
        <w:tc>
          <w:tcPr>
            <w:tcW w:w="985" w:type="dxa"/>
            <w:shd w:val="clear" w:color="auto" w:fill="BFBFBF" w:themeFill="background1" w:themeFillShade="BF"/>
          </w:tcPr>
          <w:p w14:paraId="4DFA9748" w14:textId="302E2D8E" w:rsidR="00CB7EC6" w:rsidRPr="00906CF8" w:rsidRDefault="00CB7EC6" w:rsidP="00906CF8">
            <w:pPr>
              <w:spacing w:before="60" w:after="60"/>
              <w:ind w:left="-144" w:right="-144"/>
              <w:jc w:val="center"/>
              <w:rPr>
                <w:rFonts w:ascii="Times New Roman" w:hAnsi="Times New Roman"/>
                <w:sz w:val="18"/>
                <w:szCs w:val="18"/>
              </w:rPr>
            </w:pPr>
            <w:r>
              <w:rPr>
                <w:rFonts w:ascii="Times New Roman" w:hAnsi="Times New Roman"/>
                <w:sz w:val="18"/>
                <w:szCs w:val="18"/>
              </w:rPr>
              <w:t>20</w:t>
            </w:r>
            <w:r w:rsidR="00131DE6">
              <w:rPr>
                <w:rFonts w:ascii="Times New Roman" w:hAnsi="Times New Roman"/>
                <w:sz w:val="18"/>
                <w:szCs w:val="18"/>
              </w:rPr>
              <w:t>17</w:t>
            </w:r>
            <w:r w:rsidR="00F77A8B">
              <w:rPr>
                <w:rFonts w:ascii="Times New Roman" w:hAnsi="Times New Roman"/>
                <w:sz w:val="18"/>
                <w:szCs w:val="18"/>
              </w:rPr>
              <w:t>-2018</w:t>
            </w:r>
          </w:p>
        </w:tc>
        <w:tc>
          <w:tcPr>
            <w:tcW w:w="984" w:type="dxa"/>
            <w:shd w:val="clear" w:color="auto" w:fill="BFBFBF" w:themeFill="background1" w:themeFillShade="BF"/>
          </w:tcPr>
          <w:p w14:paraId="218A7D80" w14:textId="76965FF9" w:rsidR="00CB7EC6" w:rsidRPr="00906CF8" w:rsidRDefault="00131DE6" w:rsidP="00906CF8">
            <w:pPr>
              <w:spacing w:before="60" w:after="60"/>
              <w:ind w:left="-144" w:right="-144"/>
              <w:jc w:val="center"/>
              <w:rPr>
                <w:rFonts w:ascii="Times New Roman" w:hAnsi="Times New Roman"/>
                <w:sz w:val="18"/>
                <w:szCs w:val="18"/>
              </w:rPr>
            </w:pPr>
            <w:r>
              <w:rPr>
                <w:rFonts w:ascii="Times New Roman" w:hAnsi="Times New Roman"/>
                <w:sz w:val="18"/>
                <w:szCs w:val="18"/>
              </w:rPr>
              <w:t>2018</w:t>
            </w:r>
            <w:r w:rsidR="00F77A8B">
              <w:rPr>
                <w:rFonts w:ascii="Times New Roman" w:hAnsi="Times New Roman"/>
                <w:sz w:val="18"/>
                <w:szCs w:val="18"/>
              </w:rPr>
              <w:t>-2019</w:t>
            </w:r>
          </w:p>
        </w:tc>
        <w:tc>
          <w:tcPr>
            <w:tcW w:w="984" w:type="dxa"/>
            <w:shd w:val="clear" w:color="auto" w:fill="BFBFBF" w:themeFill="background1" w:themeFillShade="BF"/>
          </w:tcPr>
          <w:p w14:paraId="58FD50E5" w14:textId="030DA467" w:rsidR="00CB7EC6" w:rsidRPr="00906CF8" w:rsidRDefault="00F77A8B" w:rsidP="00906CF8">
            <w:pPr>
              <w:spacing w:before="60" w:after="60"/>
              <w:ind w:left="-144" w:right="-144"/>
              <w:jc w:val="center"/>
              <w:rPr>
                <w:rFonts w:ascii="Times New Roman" w:hAnsi="Times New Roman"/>
                <w:sz w:val="18"/>
                <w:szCs w:val="18"/>
              </w:rPr>
            </w:pPr>
            <w:r>
              <w:rPr>
                <w:rFonts w:ascii="Times New Roman" w:hAnsi="Times New Roman"/>
                <w:sz w:val="18"/>
                <w:szCs w:val="18"/>
              </w:rPr>
              <w:t>2017</w:t>
            </w:r>
            <w:r w:rsidR="00CB7EC6">
              <w:rPr>
                <w:rFonts w:ascii="Times New Roman" w:hAnsi="Times New Roman"/>
                <w:sz w:val="18"/>
                <w:szCs w:val="18"/>
              </w:rPr>
              <w:t>-20</w:t>
            </w:r>
            <w:r>
              <w:rPr>
                <w:rFonts w:ascii="Times New Roman" w:hAnsi="Times New Roman"/>
                <w:sz w:val="18"/>
                <w:szCs w:val="18"/>
              </w:rPr>
              <w:t>18</w:t>
            </w:r>
          </w:p>
        </w:tc>
        <w:tc>
          <w:tcPr>
            <w:tcW w:w="985" w:type="dxa"/>
            <w:shd w:val="clear" w:color="auto" w:fill="BFBFBF" w:themeFill="background1" w:themeFillShade="BF"/>
          </w:tcPr>
          <w:p w14:paraId="09154047" w14:textId="1CD03285" w:rsidR="00CB7EC6" w:rsidRPr="00906CF8" w:rsidRDefault="00F77A8B" w:rsidP="00906CF8">
            <w:pPr>
              <w:spacing w:before="60" w:after="60"/>
              <w:ind w:left="-144" w:right="-144"/>
              <w:jc w:val="center"/>
              <w:rPr>
                <w:rFonts w:ascii="Times New Roman" w:hAnsi="Times New Roman"/>
                <w:sz w:val="18"/>
                <w:szCs w:val="18"/>
              </w:rPr>
            </w:pPr>
            <w:r>
              <w:rPr>
                <w:rFonts w:ascii="Times New Roman" w:hAnsi="Times New Roman"/>
                <w:sz w:val="18"/>
                <w:szCs w:val="18"/>
              </w:rPr>
              <w:t>2018-2019</w:t>
            </w:r>
          </w:p>
        </w:tc>
        <w:tc>
          <w:tcPr>
            <w:tcW w:w="985" w:type="dxa"/>
            <w:shd w:val="clear" w:color="auto" w:fill="BFBFBF" w:themeFill="background1" w:themeFillShade="BF"/>
          </w:tcPr>
          <w:p w14:paraId="79E4C826" w14:textId="51836A32" w:rsidR="00CB7EC6" w:rsidRDefault="00CB7EC6" w:rsidP="00906CF8">
            <w:pPr>
              <w:spacing w:before="60" w:after="60"/>
              <w:ind w:left="-144" w:right="-144"/>
              <w:jc w:val="center"/>
              <w:rPr>
                <w:rFonts w:ascii="Times New Roman" w:hAnsi="Times New Roman"/>
                <w:sz w:val="18"/>
                <w:szCs w:val="18"/>
              </w:rPr>
            </w:pPr>
            <w:r>
              <w:rPr>
                <w:rFonts w:ascii="Times New Roman" w:hAnsi="Times New Roman"/>
                <w:sz w:val="18"/>
                <w:szCs w:val="18"/>
              </w:rPr>
              <w:t>% Change</w:t>
            </w:r>
          </w:p>
        </w:tc>
      </w:tr>
      <w:tr w:rsidR="00CB7EC6" w:rsidRPr="00DB34B5" w14:paraId="107D9D23" w14:textId="58DF64B8" w:rsidTr="00B86ED4">
        <w:trPr>
          <w:trHeight w:val="41"/>
          <w:jc w:val="center"/>
        </w:trPr>
        <w:tc>
          <w:tcPr>
            <w:tcW w:w="1750" w:type="dxa"/>
          </w:tcPr>
          <w:p w14:paraId="46871F4E" w14:textId="17487442" w:rsidR="00CB7EC6" w:rsidRPr="00DB34B5" w:rsidRDefault="00CB7EC6" w:rsidP="005B2CCE">
            <w:pPr>
              <w:spacing w:before="60" w:after="60"/>
              <w:jc w:val="center"/>
              <w:rPr>
                <w:rFonts w:ascii="Times New Roman" w:hAnsi="Times New Roman"/>
                <w:sz w:val="20"/>
              </w:rPr>
            </w:pPr>
            <w:r w:rsidRPr="00DB34B5">
              <w:rPr>
                <w:rFonts w:ascii="Times New Roman" w:hAnsi="Times New Roman"/>
                <w:sz w:val="20"/>
              </w:rPr>
              <w:t>North Central</w:t>
            </w:r>
          </w:p>
        </w:tc>
        <w:tc>
          <w:tcPr>
            <w:tcW w:w="984" w:type="dxa"/>
          </w:tcPr>
          <w:p w14:paraId="48C8C17C" w14:textId="4DEED56A" w:rsidR="00CB7EC6" w:rsidRPr="00DB34B5" w:rsidRDefault="0091145E" w:rsidP="005B2CCE">
            <w:pPr>
              <w:spacing w:before="60" w:after="60"/>
              <w:jc w:val="center"/>
              <w:rPr>
                <w:rFonts w:ascii="Times New Roman" w:hAnsi="Times New Roman"/>
                <w:sz w:val="20"/>
              </w:rPr>
            </w:pPr>
            <w:r>
              <w:rPr>
                <w:rFonts w:ascii="Times New Roman" w:hAnsi="Times New Roman"/>
                <w:sz w:val="20"/>
              </w:rPr>
              <w:t>36</w:t>
            </w:r>
          </w:p>
        </w:tc>
        <w:tc>
          <w:tcPr>
            <w:tcW w:w="984" w:type="dxa"/>
          </w:tcPr>
          <w:p w14:paraId="27285571" w14:textId="1345F9A1" w:rsidR="00CB7EC6" w:rsidRDefault="0091145E" w:rsidP="005B2CCE">
            <w:pPr>
              <w:spacing w:before="60" w:after="60"/>
              <w:jc w:val="center"/>
              <w:rPr>
                <w:rFonts w:ascii="Times New Roman" w:hAnsi="Times New Roman"/>
                <w:sz w:val="20"/>
              </w:rPr>
            </w:pPr>
            <w:r>
              <w:rPr>
                <w:rFonts w:ascii="Times New Roman" w:hAnsi="Times New Roman"/>
                <w:sz w:val="20"/>
              </w:rPr>
              <w:t>34</w:t>
            </w:r>
          </w:p>
        </w:tc>
        <w:tc>
          <w:tcPr>
            <w:tcW w:w="984" w:type="dxa"/>
          </w:tcPr>
          <w:p w14:paraId="58B39D31" w14:textId="681B49B6" w:rsidR="00CB7EC6" w:rsidRPr="00DB34B5" w:rsidRDefault="001A371C" w:rsidP="005B2CCE">
            <w:pPr>
              <w:spacing w:before="60" w:after="60"/>
              <w:jc w:val="center"/>
              <w:rPr>
                <w:rFonts w:ascii="Times New Roman" w:hAnsi="Times New Roman"/>
                <w:sz w:val="20"/>
              </w:rPr>
            </w:pPr>
            <w:r>
              <w:rPr>
                <w:rFonts w:ascii="Times New Roman" w:hAnsi="Times New Roman"/>
                <w:sz w:val="20"/>
              </w:rPr>
              <w:t>-5.5</w:t>
            </w:r>
            <w:r w:rsidR="00CB7EC6">
              <w:rPr>
                <w:rFonts w:ascii="Times New Roman" w:hAnsi="Times New Roman"/>
                <w:sz w:val="20"/>
              </w:rPr>
              <w:t>%</w:t>
            </w:r>
          </w:p>
        </w:tc>
        <w:tc>
          <w:tcPr>
            <w:tcW w:w="985" w:type="dxa"/>
          </w:tcPr>
          <w:p w14:paraId="40EDADDF" w14:textId="78D4DFDF" w:rsidR="00CB7EC6" w:rsidRPr="00DB34B5" w:rsidRDefault="001A371C" w:rsidP="005B2CCE">
            <w:pPr>
              <w:spacing w:before="60" w:after="60"/>
              <w:jc w:val="center"/>
              <w:rPr>
                <w:rFonts w:ascii="Times New Roman" w:hAnsi="Times New Roman"/>
                <w:sz w:val="20"/>
              </w:rPr>
            </w:pPr>
            <w:r>
              <w:rPr>
                <w:rFonts w:ascii="Times New Roman" w:hAnsi="Times New Roman"/>
                <w:sz w:val="20"/>
              </w:rPr>
              <w:t>51</w:t>
            </w:r>
          </w:p>
        </w:tc>
        <w:tc>
          <w:tcPr>
            <w:tcW w:w="984" w:type="dxa"/>
          </w:tcPr>
          <w:p w14:paraId="79342E42" w14:textId="374870AC" w:rsidR="00CB7EC6" w:rsidRPr="00DB34B5" w:rsidRDefault="001A371C" w:rsidP="005B2CCE">
            <w:pPr>
              <w:spacing w:before="60" w:after="60"/>
              <w:jc w:val="center"/>
              <w:rPr>
                <w:rFonts w:ascii="Times New Roman" w:hAnsi="Times New Roman"/>
                <w:sz w:val="20"/>
              </w:rPr>
            </w:pPr>
            <w:r>
              <w:rPr>
                <w:rFonts w:ascii="Times New Roman" w:hAnsi="Times New Roman"/>
                <w:sz w:val="20"/>
              </w:rPr>
              <w:t>45</w:t>
            </w:r>
          </w:p>
        </w:tc>
        <w:tc>
          <w:tcPr>
            <w:tcW w:w="984" w:type="dxa"/>
          </w:tcPr>
          <w:p w14:paraId="61DF898B" w14:textId="3A3301B6" w:rsidR="00CB7EC6" w:rsidRPr="00DB34B5" w:rsidRDefault="00162454" w:rsidP="005B2CCE">
            <w:pPr>
              <w:spacing w:before="60" w:after="60"/>
              <w:jc w:val="center"/>
              <w:rPr>
                <w:rFonts w:ascii="Times New Roman" w:hAnsi="Times New Roman"/>
                <w:sz w:val="20"/>
              </w:rPr>
            </w:pPr>
            <w:r>
              <w:rPr>
                <w:rFonts w:ascii="Times New Roman" w:hAnsi="Times New Roman"/>
                <w:sz w:val="20"/>
              </w:rPr>
              <w:t>44</w:t>
            </w:r>
          </w:p>
        </w:tc>
        <w:tc>
          <w:tcPr>
            <w:tcW w:w="985" w:type="dxa"/>
          </w:tcPr>
          <w:p w14:paraId="57AC852B" w14:textId="24CE79AF" w:rsidR="00CB7EC6" w:rsidRPr="00DB34B5" w:rsidRDefault="001F0203" w:rsidP="005B2CCE">
            <w:pPr>
              <w:spacing w:before="60" w:after="60"/>
              <w:jc w:val="center"/>
              <w:rPr>
                <w:rFonts w:ascii="Times New Roman" w:hAnsi="Times New Roman"/>
                <w:sz w:val="20"/>
              </w:rPr>
            </w:pPr>
            <w:r>
              <w:rPr>
                <w:rFonts w:ascii="Times New Roman" w:hAnsi="Times New Roman"/>
                <w:sz w:val="20"/>
              </w:rPr>
              <w:t>56</w:t>
            </w:r>
          </w:p>
        </w:tc>
        <w:tc>
          <w:tcPr>
            <w:tcW w:w="985" w:type="dxa"/>
          </w:tcPr>
          <w:p w14:paraId="0D27DE0F" w14:textId="13D534A0" w:rsidR="00CB7EC6" w:rsidRDefault="001F0203" w:rsidP="005B2CCE">
            <w:pPr>
              <w:spacing w:before="60" w:after="60"/>
              <w:jc w:val="center"/>
              <w:rPr>
                <w:rFonts w:ascii="Times New Roman" w:hAnsi="Times New Roman"/>
                <w:sz w:val="20"/>
              </w:rPr>
            </w:pPr>
            <w:r>
              <w:rPr>
                <w:rFonts w:ascii="Times New Roman" w:hAnsi="Times New Roman"/>
                <w:sz w:val="20"/>
              </w:rPr>
              <w:t>27</w:t>
            </w:r>
            <w:r w:rsidR="00B86ED4">
              <w:rPr>
                <w:rFonts w:ascii="Times New Roman" w:hAnsi="Times New Roman"/>
                <w:sz w:val="20"/>
              </w:rPr>
              <w:t>%</w:t>
            </w:r>
          </w:p>
        </w:tc>
      </w:tr>
      <w:tr w:rsidR="00CB7EC6" w:rsidRPr="00DB34B5" w14:paraId="2EB17947" w14:textId="4D7E988D" w:rsidTr="00B86ED4">
        <w:trPr>
          <w:trHeight w:val="41"/>
          <w:jc w:val="center"/>
        </w:trPr>
        <w:tc>
          <w:tcPr>
            <w:tcW w:w="1750" w:type="dxa"/>
          </w:tcPr>
          <w:p w14:paraId="7281DFA1" w14:textId="51A0CB56" w:rsidR="00CB7EC6" w:rsidRPr="00DB34B5" w:rsidRDefault="00CB7EC6" w:rsidP="005B2CCE">
            <w:pPr>
              <w:spacing w:before="60" w:after="60"/>
              <w:jc w:val="center"/>
              <w:rPr>
                <w:rFonts w:ascii="Times New Roman" w:hAnsi="Times New Roman"/>
                <w:sz w:val="20"/>
              </w:rPr>
            </w:pPr>
            <w:r w:rsidRPr="00DB34B5">
              <w:rPr>
                <w:rFonts w:ascii="Times New Roman" w:hAnsi="Times New Roman"/>
                <w:sz w:val="20"/>
              </w:rPr>
              <w:t>Southern</w:t>
            </w:r>
          </w:p>
        </w:tc>
        <w:tc>
          <w:tcPr>
            <w:tcW w:w="984" w:type="dxa"/>
          </w:tcPr>
          <w:p w14:paraId="7B6D2A6E" w14:textId="00370294" w:rsidR="00CB7EC6" w:rsidRPr="00DB34B5" w:rsidRDefault="0091145E" w:rsidP="005B2CCE">
            <w:pPr>
              <w:spacing w:before="60" w:after="60"/>
              <w:jc w:val="center"/>
              <w:rPr>
                <w:rFonts w:ascii="Times New Roman" w:hAnsi="Times New Roman"/>
                <w:sz w:val="20"/>
              </w:rPr>
            </w:pPr>
            <w:r>
              <w:rPr>
                <w:rFonts w:ascii="Times New Roman" w:hAnsi="Times New Roman"/>
                <w:sz w:val="20"/>
              </w:rPr>
              <w:t>58</w:t>
            </w:r>
          </w:p>
        </w:tc>
        <w:tc>
          <w:tcPr>
            <w:tcW w:w="984" w:type="dxa"/>
          </w:tcPr>
          <w:p w14:paraId="4F44F6B5" w14:textId="38817F36" w:rsidR="00CB7EC6" w:rsidRDefault="0091145E" w:rsidP="005B2CCE">
            <w:pPr>
              <w:spacing w:before="60" w:after="60"/>
              <w:jc w:val="center"/>
              <w:rPr>
                <w:rFonts w:ascii="Times New Roman" w:hAnsi="Times New Roman"/>
                <w:sz w:val="20"/>
              </w:rPr>
            </w:pPr>
            <w:r>
              <w:rPr>
                <w:rFonts w:ascii="Times New Roman" w:hAnsi="Times New Roman"/>
                <w:sz w:val="20"/>
              </w:rPr>
              <w:t>44</w:t>
            </w:r>
          </w:p>
        </w:tc>
        <w:tc>
          <w:tcPr>
            <w:tcW w:w="984" w:type="dxa"/>
          </w:tcPr>
          <w:p w14:paraId="2601C369" w14:textId="79E7ACBF" w:rsidR="00CB7EC6" w:rsidRPr="00DB34B5" w:rsidRDefault="001A371C" w:rsidP="005B2CCE">
            <w:pPr>
              <w:spacing w:before="60" w:after="60"/>
              <w:jc w:val="center"/>
              <w:rPr>
                <w:rFonts w:ascii="Times New Roman" w:hAnsi="Times New Roman"/>
                <w:sz w:val="20"/>
              </w:rPr>
            </w:pPr>
            <w:r>
              <w:rPr>
                <w:rFonts w:ascii="Times New Roman" w:hAnsi="Times New Roman"/>
                <w:sz w:val="20"/>
              </w:rPr>
              <w:t>-24</w:t>
            </w:r>
            <w:r w:rsidR="00CB7EC6">
              <w:rPr>
                <w:rFonts w:ascii="Times New Roman" w:hAnsi="Times New Roman"/>
                <w:sz w:val="20"/>
              </w:rPr>
              <w:t>%</w:t>
            </w:r>
          </w:p>
        </w:tc>
        <w:tc>
          <w:tcPr>
            <w:tcW w:w="985" w:type="dxa"/>
          </w:tcPr>
          <w:p w14:paraId="7A891A80" w14:textId="4674D2EB" w:rsidR="00CB7EC6" w:rsidRPr="00DB34B5" w:rsidRDefault="001A371C" w:rsidP="008A7975">
            <w:pPr>
              <w:spacing w:before="60" w:after="60"/>
              <w:jc w:val="center"/>
              <w:rPr>
                <w:rFonts w:ascii="Times New Roman" w:hAnsi="Times New Roman"/>
                <w:sz w:val="20"/>
              </w:rPr>
            </w:pPr>
            <w:r>
              <w:rPr>
                <w:rFonts w:ascii="Times New Roman" w:hAnsi="Times New Roman"/>
                <w:sz w:val="20"/>
              </w:rPr>
              <w:t>81</w:t>
            </w:r>
          </w:p>
        </w:tc>
        <w:tc>
          <w:tcPr>
            <w:tcW w:w="984" w:type="dxa"/>
          </w:tcPr>
          <w:p w14:paraId="78CAA904" w14:textId="285DC9DD" w:rsidR="00CB7EC6" w:rsidRPr="00DB34B5" w:rsidRDefault="00484C9F" w:rsidP="005B2CCE">
            <w:pPr>
              <w:spacing w:before="60" w:after="60"/>
              <w:jc w:val="center"/>
              <w:rPr>
                <w:rFonts w:ascii="Times New Roman" w:hAnsi="Times New Roman"/>
                <w:sz w:val="20"/>
              </w:rPr>
            </w:pPr>
            <w:r>
              <w:rPr>
                <w:rFonts w:ascii="Times New Roman" w:hAnsi="Times New Roman"/>
                <w:sz w:val="20"/>
              </w:rPr>
              <w:t>74</w:t>
            </w:r>
          </w:p>
        </w:tc>
        <w:tc>
          <w:tcPr>
            <w:tcW w:w="984" w:type="dxa"/>
          </w:tcPr>
          <w:p w14:paraId="11C2FCDC" w14:textId="2D973DB7" w:rsidR="00CB7EC6" w:rsidRPr="00DB34B5" w:rsidRDefault="001F0203" w:rsidP="005B2CCE">
            <w:pPr>
              <w:spacing w:before="60" w:after="60"/>
              <w:jc w:val="center"/>
              <w:rPr>
                <w:rFonts w:ascii="Times New Roman" w:hAnsi="Times New Roman"/>
                <w:sz w:val="20"/>
              </w:rPr>
            </w:pPr>
            <w:r>
              <w:rPr>
                <w:rFonts w:ascii="Times New Roman" w:hAnsi="Times New Roman"/>
                <w:sz w:val="20"/>
              </w:rPr>
              <w:t>61</w:t>
            </w:r>
          </w:p>
        </w:tc>
        <w:tc>
          <w:tcPr>
            <w:tcW w:w="985" w:type="dxa"/>
          </w:tcPr>
          <w:p w14:paraId="006B47E3" w14:textId="2F3F272B" w:rsidR="00CB7EC6" w:rsidRPr="00DB34B5" w:rsidRDefault="001F0203" w:rsidP="005B2CCE">
            <w:pPr>
              <w:spacing w:before="60" w:after="60"/>
              <w:jc w:val="center"/>
              <w:rPr>
                <w:rFonts w:ascii="Times New Roman" w:hAnsi="Times New Roman"/>
                <w:sz w:val="20"/>
              </w:rPr>
            </w:pPr>
            <w:r>
              <w:rPr>
                <w:rFonts w:ascii="Times New Roman" w:hAnsi="Times New Roman"/>
                <w:sz w:val="20"/>
              </w:rPr>
              <w:t>62</w:t>
            </w:r>
          </w:p>
        </w:tc>
        <w:tc>
          <w:tcPr>
            <w:tcW w:w="985" w:type="dxa"/>
          </w:tcPr>
          <w:p w14:paraId="0CAF2E6B" w14:textId="46BDD7D5" w:rsidR="00CB7EC6" w:rsidRDefault="001F0203" w:rsidP="005B2CCE">
            <w:pPr>
              <w:spacing w:before="60" w:after="60"/>
              <w:jc w:val="center"/>
              <w:rPr>
                <w:rFonts w:ascii="Times New Roman" w:hAnsi="Times New Roman"/>
                <w:sz w:val="20"/>
              </w:rPr>
            </w:pPr>
            <w:r>
              <w:rPr>
                <w:rFonts w:ascii="Times New Roman" w:hAnsi="Times New Roman"/>
                <w:sz w:val="20"/>
              </w:rPr>
              <w:t>1.6</w:t>
            </w:r>
            <w:r w:rsidR="00B86ED4">
              <w:rPr>
                <w:rFonts w:ascii="Times New Roman" w:hAnsi="Times New Roman"/>
                <w:sz w:val="20"/>
              </w:rPr>
              <w:t>%</w:t>
            </w:r>
          </w:p>
        </w:tc>
      </w:tr>
      <w:tr w:rsidR="00CB7EC6" w:rsidRPr="00DB34B5" w14:paraId="46D014E7" w14:textId="37948681" w:rsidTr="00B86ED4">
        <w:trPr>
          <w:trHeight w:val="41"/>
          <w:jc w:val="center"/>
        </w:trPr>
        <w:tc>
          <w:tcPr>
            <w:tcW w:w="1750" w:type="dxa"/>
          </w:tcPr>
          <w:p w14:paraId="22D21845" w14:textId="365B2B3C" w:rsidR="00CB7EC6" w:rsidRPr="00DB34B5" w:rsidRDefault="00CB7EC6" w:rsidP="005B2CCE">
            <w:pPr>
              <w:spacing w:before="60" w:after="60"/>
              <w:jc w:val="center"/>
              <w:rPr>
                <w:rFonts w:ascii="Times New Roman" w:hAnsi="Times New Roman"/>
                <w:sz w:val="20"/>
              </w:rPr>
            </w:pPr>
            <w:r w:rsidRPr="00DB34B5">
              <w:rPr>
                <w:rFonts w:ascii="Times New Roman" w:hAnsi="Times New Roman"/>
                <w:sz w:val="20"/>
              </w:rPr>
              <w:t>Western</w:t>
            </w:r>
          </w:p>
        </w:tc>
        <w:tc>
          <w:tcPr>
            <w:tcW w:w="984" w:type="dxa"/>
          </w:tcPr>
          <w:p w14:paraId="70F9E156" w14:textId="6B7BD80E" w:rsidR="00CB7EC6" w:rsidRPr="00DB34B5" w:rsidRDefault="0091145E" w:rsidP="005B2CCE">
            <w:pPr>
              <w:spacing w:before="60" w:after="60"/>
              <w:jc w:val="center"/>
              <w:rPr>
                <w:rFonts w:ascii="Times New Roman" w:hAnsi="Times New Roman"/>
                <w:sz w:val="20"/>
              </w:rPr>
            </w:pPr>
            <w:r>
              <w:rPr>
                <w:rFonts w:ascii="Times New Roman" w:hAnsi="Times New Roman"/>
                <w:sz w:val="20"/>
              </w:rPr>
              <w:t>51</w:t>
            </w:r>
          </w:p>
        </w:tc>
        <w:tc>
          <w:tcPr>
            <w:tcW w:w="984" w:type="dxa"/>
          </w:tcPr>
          <w:p w14:paraId="1BDD4BCD" w14:textId="6561CBCD" w:rsidR="00CB7EC6" w:rsidRDefault="0091145E" w:rsidP="005B2CCE">
            <w:pPr>
              <w:spacing w:before="60" w:after="60"/>
              <w:jc w:val="center"/>
              <w:rPr>
                <w:rFonts w:ascii="Times New Roman" w:hAnsi="Times New Roman"/>
                <w:sz w:val="20"/>
              </w:rPr>
            </w:pPr>
            <w:r>
              <w:rPr>
                <w:rFonts w:ascii="Times New Roman" w:hAnsi="Times New Roman"/>
                <w:sz w:val="20"/>
              </w:rPr>
              <w:t>43</w:t>
            </w:r>
          </w:p>
        </w:tc>
        <w:tc>
          <w:tcPr>
            <w:tcW w:w="984" w:type="dxa"/>
          </w:tcPr>
          <w:p w14:paraId="3D468B04" w14:textId="39E3F704" w:rsidR="00CB7EC6" w:rsidRPr="00DB34B5" w:rsidRDefault="001A371C" w:rsidP="005B2CCE">
            <w:pPr>
              <w:spacing w:before="60" w:after="60"/>
              <w:jc w:val="center"/>
              <w:rPr>
                <w:rFonts w:ascii="Times New Roman" w:hAnsi="Times New Roman"/>
                <w:sz w:val="20"/>
              </w:rPr>
            </w:pPr>
            <w:r>
              <w:rPr>
                <w:rFonts w:ascii="Times New Roman" w:hAnsi="Times New Roman"/>
                <w:sz w:val="20"/>
              </w:rPr>
              <w:t>-15.7</w:t>
            </w:r>
            <w:r w:rsidR="00CB7EC6">
              <w:rPr>
                <w:rFonts w:ascii="Times New Roman" w:hAnsi="Times New Roman"/>
                <w:sz w:val="20"/>
              </w:rPr>
              <w:t>%</w:t>
            </w:r>
          </w:p>
        </w:tc>
        <w:tc>
          <w:tcPr>
            <w:tcW w:w="985" w:type="dxa"/>
          </w:tcPr>
          <w:p w14:paraId="0AE23DBB" w14:textId="5D8ECFE2" w:rsidR="00CB7EC6" w:rsidRPr="00DB34B5" w:rsidRDefault="001A371C" w:rsidP="005B2CCE">
            <w:pPr>
              <w:spacing w:before="60" w:after="60"/>
              <w:jc w:val="center"/>
              <w:rPr>
                <w:rFonts w:ascii="Times New Roman" w:hAnsi="Times New Roman"/>
                <w:sz w:val="20"/>
              </w:rPr>
            </w:pPr>
            <w:r>
              <w:rPr>
                <w:rFonts w:ascii="Times New Roman" w:hAnsi="Times New Roman"/>
                <w:sz w:val="20"/>
              </w:rPr>
              <w:t>4</w:t>
            </w:r>
          </w:p>
        </w:tc>
        <w:tc>
          <w:tcPr>
            <w:tcW w:w="984" w:type="dxa"/>
          </w:tcPr>
          <w:p w14:paraId="2466DE71" w14:textId="3115F8EE" w:rsidR="00CB7EC6" w:rsidRPr="00DB34B5" w:rsidRDefault="00484C9F" w:rsidP="005B2CCE">
            <w:pPr>
              <w:spacing w:before="60" w:after="60"/>
              <w:jc w:val="center"/>
              <w:rPr>
                <w:rFonts w:ascii="Times New Roman" w:hAnsi="Times New Roman"/>
                <w:sz w:val="20"/>
              </w:rPr>
            </w:pPr>
            <w:r>
              <w:rPr>
                <w:rFonts w:ascii="Times New Roman" w:hAnsi="Times New Roman"/>
                <w:sz w:val="20"/>
              </w:rPr>
              <w:t>5</w:t>
            </w:r>
          </w:p>
        </w:tc>
        <w:tc>
          <w:tcPr>
            <w:tcW w:w="984" w:type="dxa"/>
          </w:tcPr>
          <w:p w14:paraId="19704EAC" w14:textId="690078CE" w:rsidR="00CB7EC6" w:rsidRPr="00DB34B5" w:rsidRDefault="001F0203" w:rsidP="005B2CCE">
            <w:pPr>
              <w:spacing w:before="60" w:after="60"/>
              <w:jc w:val="center"/>
              <w:rPr>
                <w:rFonts w:ascii="Times New Roman" w:hAnsi="Times New Roman"/>
                <w:sz w:val="20"/>
              </w:rPr>
            </w:pPr>
            <w:r>
              <w:rPr>
                <w:rFonts w:ascii="Times New Roman" w:hAnsi="Times New Roman"/>
                <w:sz w:val="20"/>
              </w:rPr>
              <w:t>23</w:t>
            </w:r>
          </w:p>
        </w:tc>
        <w:tc>
          <w:tcPr>
            <w:tcW w:w="985" w:type="dxa"/>
          </w:tcPr>
          <w:p w14:paraId="0486EA1D" w14:textId="201EF8FB" w:rsidR="00CB7EC6" w:rsidRPr="00DB34B5" w:rsidRDefault="001F0203" w:rsidP="005B2CCE">
            <w:pPr>
              <w:spacing w:before="60" w:after="60"/>
              <w:jc w:val="center"/>
              <w:rPr>
                <w:rFonts w:ascii="Times New Roman" w:hAnsi="Times New Roman"/>
                <w:sz w:val="20"/>
              </w:rPr>
            </w:pPr>
            <w:r>
              <w:rPr>
                <w:rFonts w:ascii="Times New Roman" w:hAnsi="Times New Roman"/>
                <w:sz w:val="20"/>
              </w:rPr>
              <w:t>24</w:t>
            </w:r>
          </w:p>
        </w:tc>
        <w:tc>
          <w:tcPr>
            <w:tcW w:w="985" w:type="dxa"/>
          </w:tcPr>
          <w:p w14:paraId="57F8CF37" w14:textId="6FBA4E8E" w:rsidR="00CB7EC6" w:rsidRDefault="001F0203" w:rsidP="005B2CCE">
            <w:pPr>
              <w:spacing w:before="60" w:after="60"/>
              <w:jc w:val="center"/>
              <w:rPr>
                <w:rFonts w:ascii="Times New Roman" w:hAnsi="Times New Roman"/>
                <w:sz w:val="20"/>
              </w:rPr>
            </w:pPr>
            <w:r>
              <w:rPr>
                <w:rFonts w:ascii="Times New Roman" w:hAnsi="Times New Roman"/>
                <w:sz w:val="20"/>
              </w:rPr>
              <w:t>4.3</w:t>
            </w:r>
            <w:r w:rsidR="00B86ED4">
              <w:rPr>
                <w:rFonts w:ascii="Times New Roman" w:hAnsi="Times New Roman"/>
                <w:sz w:val="20"/>
              </w:rPr>
              <w:t>%</w:t>
            </w:r>
          </w:p>
        </w:tc>
      </w:tr>
      <w:tr w:rsidR="00CB7EC6" w:rsidRPr="00DB34B5" w14:paraId="2A78629D" w14:textId="7F324E56" w:rsidTr="00B86ED4">
        <w:trPr>
          <w:trHeight w:val="41"/>
          <w:jc w:val="center"/>
        </w:trPr>
        <w:tc>
          <w:tcPr>
            <w:tcW w:w="1750" w:type="dxa"/>
          </w:tcPr>
          <w:p w14:paraId="7749C36A" w14:textId="09480FC7" w:rsidR="00CB7EC6" w:rsidRPr="00DB34B5" w:rsidRDefault="00CB7EC6" w:rsidP="005B2CCE">
            <w:pPr>
              <w:spacing w:before="60" w:after="60"/>
              <w:jc w:val="center"/>
              <w:rPr>
                <w:rFonts w:ascii="Times New Roman" w:hAnsi="Times New Roman"/>
                <w:sz w:val="20"/>
              </w:rPr>
            </w:pPr>
            <w:r w:rsidRPr="00DB34B5">
              <w:rPr>
                <w:rFonts w:ascii="Times New Roman" w:hAnsi="Times New Roman"/>
                <w:sz w:val="20"/>
              </w:rPr>
              <w:t>National</w:t>
            </w:r>
          </w:p>
        </w:tc>
        <w:tc>
          <w:tcPr>
            <w:tcW w:w="984" w:type="dxa"/>
          </w:tcPr>
          <w:p w14:paraId="4E9C68B2" w14:textId="5FFDE14C" w:rsidR="00CB7EC6" w:rsidRPr="00DB34B5" w:rsidRDefault="00F77A8B" w:rsidP="005B2CCE">
            <w:pPr>
              <w:spacing w:before="60" w:after="60"/>
              <w:jc w:val="center"/>
              <w:rPr>
                <w:rFonts w:ascii="Times New Roman" w:hAnsi="Times New Roman"/>
                <w:sz w:val="20"/>
              </w:rPr>
            </w:pPr>
            <w:r>
              <w:rPr>
                <w:rFonts w:ascii="Times New Roman" w:hAnsi="Times New Roman"/>
                <w:sz w:val="20"/>
              </w:rPr>
              <w:t>96</w:t>
            </w:r>
          </w:p>
        </w:tc>
        <w:tc>
          <w:tcPr>
            <w:tcW w:w="984" w:type="dxa"/>
          </w:tcPr>
          <w:p w14:paraId="25EBD06E" w14:textId="3D4C6752" w:rsidR="00CB7EC6" w:rsidRDefault="00F77A8B" w:rsidP="005B2CCE">
            <w:pPr>
              <w:spacing w:before="60" w:after="60"/>
              <w:jc w:val="center"/>
              <w:rPr>
                <w:rFonts w:ascii="Times New Roman" w:hAnsi="Times New Roman"/>
                <w:sz w:val="20"/>
              </w:rPr>
            </w:pPr>
            <w:r>
              <w:rPr>
                <w:rFonts w:ascii="Times New Roman" w:hAnsi="Times New Roman"/>
                <w:sz w:val="20"/>
              </w:rPr>
              <w:t>96</w:t>
            </w:r>
          </w:p>
        </w:tc>
        <w:tc>
          <w:tcPr>
            <w:tcW w:w="984" w:type="dxa"/>
          </w:tcPr>
          <w:p w14:paraId="63DAADCB" w14:textId="29AA29BB" w:rsidR="00CB7EC6" w:rsidRPr="00DB34B5" w:rsidRDefault="00F77A8B" w:rsidP="005B2CCE">
            <w:pPr>
              <w:spacing w:before="60" w:after="60"/>
              <w:jc w:val="center"/>
              <w:rPr>
                <w:rFonts w:ascii="Times New Roman" w:hAnsi="Times New Roman"/>
                <w:sz w:val="20"/>
              </w:rPr>
            </w:pPr>
            <w:r>
              <w:rPr>
                <w:rFonts w:ascii="Times New Roman" w:hAnsi="Times New Roman"/>
                <w:sz w:val="20"/>
              </w:rPr>
              <w:t>0</w:t>
            </w:r>
            <w:r w:rsidR="00CB7EC6">
              <w:rPr>
                <w:rFonts w:ascii="Times New Roman" w:hAnsi="Times New Roman"/>
                <w:sz w:val="20"/>
              </w:rPr>
              <w:t>%</w:t>
            </w:r>
          </w:p>
        </w:tc>
        <w:tc>
          <w:tcPr>
            <w:tcW w:w="985" w:type="dxa"/>
          </w:tcPr>
          <w:p w14:paraId="06FDA31A" w14:textId="3F4F90D6" w:rsidR="00CB7EC6" w:rsidRPr="00DB34B5" w:rsidRDefault="001A371C" w:rsidP="005B2CCE">
            <w:pPr>
              <w:spacing w:before="60" w:after="60"/>
              <w:jc w:val="center"/>
              <w:rPr>
                <w:rFonts w:ascii="Times New Roman" w:hAnsi="Times New Roman"/>
                <w:sz w:val="20"/>
              </w:rPr>
            </w:pPr>
            <w:r>
              <w:rPr>
                <w:rFonts w:ascii="Times New Roman" w:hAnsi="Times New Roman"/>
                <w:sz w:val="20"/>
              </w:rPr>
              <w:t>157</w:t>
            </w:r>
          </w:p>
        </w:tc>
        <w:tc>
          <w:tcPr>
            <w:tcW w:w="984" w:type="dxa"/>
          </w:tcPr>
          <w:p w14:paraId="56B9F628" w14:textId="6E6CFD56" w:rsidR="00CB7EC6" w:rsidRPr="00DB34B5" w:rsidRDefault="00484C9F" w:rsidP="005B2CCE">
            <w:pPr>
              <w:spacing w:before="60" w:after="60"/>
              <w:jc w:val="center"/>
              <w:rPr>
                <w:rFonts w:ascii="Times New Roman" w:hAnsi="Times New Roman"/>
                <w:sz w:val="20"/>
              </w:rPr>
            </w:pPr>
            <w:r>
              <w:rPr>
                <w:rFonts w:ascii="Times New Roman" w:hAnsi="Times New Roman"/>
                <w:sz w:val="20"/>
              </w:rPr>
              <w:t>145</w:t>
            </w:r>
          </w:p>
        </w:tc>
        <w:tc>
          <w:tcPr>
            <w:tcW w:w="984" w:type="dxa"/>
          </w:tcPr>
          <w:p w14:paraId="7CA32B04" w14:textId="4CA767FB" w:rsidR="00CB7EC6" w:rsidRPr="00DB34B5" w:rsidRDefault="001F0203" w:rsidP="005B2CCE">
            <w:pPr>
              <w:spacing w:before="60" w:after="60"/>
              <w:jc w:val="center"/>
              <w:rPr>
                <w:rFonts w:ascii="Times New Roman" w:hAnsi="Times New Roman"/>
                <w:sz w:val="20"/>
              </w:rPr>
            </w:pPr>
            <w:r>
              <w:rPr>
                <w:rFonts w:ascii="Times New Roman" w:hAnsi="Times New Roman"/>
                <w:sz w:val="20"/>
              </w:rPr>
              <w:t>72</w:t>
            </w:r>
          </w:p>
        </w:tc>
        <w:tc>
          <w:tcPr>
            <w:tcW w:w="985" w:type="dxa"/>
          </w:tcPr>
          <w:p w14:paraId="37253BEA" w14:textId="54A09348" w:rsidR="00CB7EC6" w:rsidRPr="00DB34B5" w:rsidRDefault="001F0203" w:rsidP="005B2CCE">
            <w:pPr>
              <w:spacing w:before="60" w:after="60"/>
              <w:jc w:val="center"/>
              <w:rPr>
                <w:rFonts w:ascii="Times New Roman" w:hAnsi="Times New Roman"/>
                <w:sz w:val="20"/>
              </w:rPr>
            </w:pPr>
            <w:r>
              <w:rPr>
                <w:rFonts w:ascii="Times New Roman" w:hAnsi="Times New Roman"/>
                <w:sz w:val="20"/>
              </w:rPr>
              <w:t>62</w:t>
            </w:r>
          </w:p>
        </w:tc>
        <w:tc>
          <w:tcPr>
            <w:tcW w:w="985" w:type="dxa"/>
          </w:tcPr>
          <w:p w14:paraId="47F445E2" w14:textId="33264FED" w:rsidR="00CB7EC6" w:rsidRDefault="001F0203" w:rsidP="005B2CCE">
            <w:pPr>
              <w:spacing w:before="60" w:after="60"/>
              <w:jc w:val="center"/>
              <w:rPr>
                <w:rFonts w:ascii="Times New Roman" w:hAnsi="Times New Roman"/>
                <w:sz w:val="20"/>
              </w:rPr>
            </w:pPr>
            <w:r>
              <w:rPr>
                <w:rFonts w:ascii="Times New Roman" w:hAnsi="Times New Roman"/>
                <w:sz w:val="20"/>
              </w:rPr>
              <w:t>- 13.9</w:t>
            </w:r>
            <w:r w:rsidR="00B86ED4">
              <w:rPr>
                <w:rFonts w:ascii="Times New Roman" w:hAnsi="Times New Roman"/>
                <w:sz w:val="20"/>
              </w:rPr>
              <w:t>%</w:t>
            </w:r>
          </w:p>
        </w:tc>
      </w:tr>
    </w:tbl>
    <w:p w14:paraId="1B58858E" w14:textId="72E069FF" w:rsidR="00D77D55" w:rsidRPr="00D77D55" w:rsidRDefault="00D77D55" w:rsidP="00FA1443">
      <w:pPr>
        <w:spacing w:before="60" w:after="240"/>
        <w:ind w:left="810" w:hanging="630"/>
        <w:rPr>
          <w:rFonts w:ascii="Times New Roman" w:hAnsi="Times New Roman"/>
          <w:sz w:val="20"/>
        </w:rPr>
      </w:pPr>
      <w:r>
        <w:rPr>
          <w:rFonts w:ascii="Times New Roman" w:hAnsi="Times New Roman"/>
          <w:sz w:val="20"/>
        </w:rPr>
        <w:t>NOTE:</w:t>
      </w:r>
      <w:r>
        <w:rPr>
          <w:rFonts w:ascii="Times New Roman" w:hAnsi="Times New Roman"/>
          <w:sz w:val="20"/>
        </w:rPr>
        <w:tab/>
      </w:r>
      <w:r w:rsidR="00FA1443">
        <w:rPr>
          <w:rFonts w:ascii="Times New Roman" w:hAnsi="Times New Roman"/>
          <w:i/>
          <w:sz w:val="20"/>
        </w:rPr>
        <w:t>Days</w:t>
      </w:r>
      <w:r w:rsidRPr="00D77D55">
        <w:rPr>
          <w:rFonts w:ascii="Times New Roman" w:hAnsi="Times New Roman"/>
          <w:i/>
          <w:sz w:val="20"/>
        </w:rPr>
        <w:t xml:space="preserve"> to Complete</w:t>
      </w:r>
      <w:r>
        <w:rPr>
          <w:rFonts w:ascii="Times New Roman" w:hAnsi="Times New Roman"/>
          <w:sz w:val="20"/>
        </w:rPr>
        <w:t xml:space="preserve"> is the </w:t>
      </w:r>
      <w:r w:rsidR="00FA1443">
        <w:rPr>
          <w:rFonts w:ascii="Times New Roman" w:hAnsi="Times New Roman"/>
          <w:sz w:val="20"/>
        </w:rPr>
        <w:t>time</w:t>
      </w:r>
      <w:r>
        <w:rPr>
          <w:rFonts w:ascii="Times New Roman" w:hAnsi="Times New Roman"/>
          <w:sz w:val="20"/>
        </w:rPr>
        <w:t xml:space="preserve"> from when submissions closed until the day accept/reject emails were sent.</w:t>
      </w:r>
    </w:p>
    <w:p w14:paraId="69ABBAE6" w14:textId="663B06A0" w:rsidR="00DB34B5" w:rsidRPr="00B27552" w:rsidRDefault="00DB34B5" w:rsidP="00B27552">
      <w:pPr>
        <w:pStyle w:val="ListParagraph"/>
        <w:numPr>
          <w:ilvl w:val="0"/>
          <w:numId w:val="1"/>
        </w:numPr>
        <w:spacing w:before="60" w:after="120"/>
        <w:contextualSpacing w:val="0"/>
        <w:rPr>
          <w:rFonts w:ascii="Times New Roman" w:hAnsi="Times New Roman"/>
          <w:sz w:val="24"/>
        </w:rPr>
      </w:pPr>
      <w:r w:rsidRPr="00AA6799">
        <w:rPr>
          <w:rFonts w:ascii="Times New Roman" w:hAnsi="Times New Roman"/>
          <w:sz w:val="24"/>
        </w:rPr>
        <w:t>This past year, the number of people who rejected an i</w:t>
      </w:r>
      <w:r w:rsidR="0068286E" w:rsidRPr="00AA6799">
        <w:rPr>
          <w:rFonts w:ascii="Times New Roman" w:hAnsi="Times New Roman"/>
          <w:sz w:val="24"/>
        </w:rPr>
        <w:t>n</w:t>
      </w:r>
      <w:r w:rsidRPr="00AA6799">
        <w:rPr>
          <w:rFonts w:ascii="Times New Roman" w:hAnsi="Times New Roman"/>
          <w:sz w:val="24"/>
        </w:rPr>
        <w:t xml:space="preserve">vitation </w:t>
      </w:r>
      <w:r w:rsidR="0068286E" w:rsidRPr="00AA6799">
        <w:rPr>
          <w:rFonts w:ascii="Times New Roman" w:hAnsi="Times New Roman"/>
          <w:sz w:val="24"/>
        </w:rPr>
        <w:t xml:space="preserve">to </w:t>
      </w:r>
      <w:r w:rsidRPr="00AA6799">
        <w:rPr>
          <w:rFonts w:ascii="Times New Roman" w:hAnsi="Times New Roman"/>
          <w:sz w:val="24"/>
        </w:rPr>
        <w:t>review a ma</w:t>
      </w:r>
      <w:r w:rsidR="006439C4">
        <w:rPr>
          <w:rFonts w:ascii="Times New Roman" w:hAnsi="Times New Roman"/>
          <w:sz w:val="24"/>
        </w:rPr>
        <w:t>nuscript or did not complete an</w:t>
      </w:r>
      <w:r w:rsidRPr="00AA6799">
        <w:rPr>
          <w:rFonts w:ascii="Times New Roman" w:hAnsi="Times New Roman"/>
          <w:sz w:val="24"/>
        </w:rPr>
        <w:t xml:space="preserve"> invitation t</w:t>
      </w:r>
      <w:r w:rsidR="00B04F32">
        <w:rPr>
          <w:rFonts w:ascii="Times New Roman" w:hAnsi="Times New Roman"/>
          <w:sz w:val="24"/>
        </w:rPr>
        <w:t xml:space="preserve">o review in </w:t>
      </w:r>
      <w:r w:rsidR="00E4312E">
        <w:rPr>
          <w:rFonts w:ascii="Times New Roman" w:hAnsi="Times New Roman"/>
          <w:sz w:val="24"/>
        </w:rPr>
        <w:t>a timely manner decreased (n</w:t>
      </w:r>
      <w:r w:rsidR="00577FD1">
        <w:rPr>
          <w:rFonts w:ascii="Times New Roman" w:hAnsi="Times New Roman"/>
          <w:sz w:val="24"/>
        </w:rPr>
        <w:t xml:space="preserve"> </w:t>
      </w:r>
      <w:r w:rsidR="006439C4">
        <w:rPr>
          <w:rFonts w:ascii="Times New Roman" w:hAnsi="Times New Roman"/>
          <w:sz w:val="24"/>
        </w:rPr>
        <w:t>= 46</w:t>
      </w:r>
      <w:r w:rsidR="00B04F32">
        <w:rPr>
          <w:rFonts w:ascii="Times New Roman" w:hAnsi="Times New Roman"/>
          <w:sz w:val="24"/>
        </w:rPr>
        <w:t>)</w:t>
      </w:r>
      <w:r w:rsidR="00FA1443" w:rsidRPr="00AA6799">
        <w:rPr>
          <w:rFonts w:ascii="Times New Roman" w:hAnsi="Times New Roman"/>
          <w:sz w:val="24"/>
        </w:rPr>
        <w:t xml:space="preserve"> </w:t>
      </w:r>
      <w:r w:rsidR="0008064B" w:rsidRPr="00AA6799">
        <w:rPr>
          <w:rFonts w:ascii="Times New Roman" w:hAnsi="Times New Roman"/>
          <w:sz w:val="24"/>
        </w:rPr>
        <w:t xml:space="preserve">across </w:t>
      </w:r>
      <w:r w:rsidR="00E4312E">
        <w:rPr>
          <w:rFonts w:ascii="Times New Roman" w:hAnsi="Times New Roman"/>
          <w:sz w:val="24"/>
        </w:rPr>
        <w:t>the three conferences (Weste</w:t>
      </w:r>
      <w:r w:rsidR="006439C4">
        <w:rPr>
          <w:rFonts w:ascii="Times New Roman" w:hAnsi="Times New Roman"/>
          <w:sz w:val="24"/>
        </w:rPr>
        <w:t>rn review panel) compared to (52 in 2017-18</w:t>
      </w:r>
      <w:r w:rsidR="0008064B" w:rsidRPr="00AA6799">
        <w:rPr>
          <w:rFonts w:ascii="Times New Roman" w:hAnsi="Times New Roman"/>
          <w:sz w:val="24"/>
        </w:rPr>
        <w:t>)</w:t>
      </w:r>
      <w:r w:rsidR="00B04F32">
        <w:rPr>
          <w:rFonts w:ascii="Times New Roman" w:hAnsi="Times New Roman"/>
          <w:sz w:val="24"/>
        </w:rPr>
        <w:t xml:space="preserve">. </w:t>
      </w:r>
      <w:r w:rsidR="00577FD1">
        <w:rPr>
          <w:rFonts w:ascii="Times New Roman" w:hAnsi="Times New Roman"/>
          <w:sz w:val="24"/>
        </w:rPr>
        <w:t>Several</w:t>
      </w:r>
      <w:r w:rsidR="0008064B" w:rsidRPr="00AA6799">
        <w:rPr>
          <w:rFonts w:ascii="Times New Roman" w:hAnsi="Times New Roman"/>
          <w:sz w:val="24"/>
        </w:rPr>
        <w:t xml:space="preserve"> individuals rejected all</w:t>
      </w:r>
      <w:r w:rsidR="0096572A">
        <w:rPr>
          <w:rFonts w:ascii="Times New Roman" w:hAnsi="Times New Roman"/>
          <w:sz w:val="24"/>
        </w:rPr>
        <w:t xml:space="preserve"> invitations </w:t>
      </w:r>
      <w:r w:rsidR="00E4312E">
        <w:rPr>
          <w:rFonts w:ascii="Times New Roman" w:hAnsi="Times New Roman"/>
          <w:sz w:val="24"/>
        </w:rPr>
        <w:t xml:space="preserve">to review. We still have many reviewers who submit to regional and national conferences, but decline all review requests. </w:t>
      </w:r>
    </w:p>
    <w:p w14:paraId="09119901" w14:textId="3E4A2C6D" w:rsidR="006F6A4D" w:rsidRPr="00AA6799" w:rsidRDefault="006F6A4D" w:rsidP="00A603AC">
      <w:pPr>
        <w:pStyle w:val="Heading1"/>
        <w:rPr>
          <w:rFonts w:ascii="Times New Roman" w:hAnsi="Times New Roman" w:cs="Times New Roman"/>
          <w:sz w:val="24"/>
          <w:szCs w:val="24"/>
        </w:rPr>
      </w:pPr>
      <w:r w:rsidRPr="00AA6799">
        <w:rPr>
          <w:rFonts w:ascii="Times New Roman" w:hAnsi="Times New Roman" w:cs="Times New Roman"/>
          <w:sz w:val="24"/>
          <w:szCs w:val="24"/>
        </w:rPr>
        <w:t>Other Items to Report</w:t>
      </w:r>
    </w:p>
    <w:p w14:paraId="5C3AEAB6" w14:textId="2AB84C05" w:rsidR="00E554A7" w:rsidRDefault="00357D81" w:rsidP="00E554A7">
      <w:pPr>
        <w:pStyle w:val="ListParagraph"/>
        <w:numPr>
          <w:ilvl w:val="0"/>
          <w:numId w:val="2"/>
        </w:numPr>
        <w:spacing w:before="120"/>
        <w:contextualSpacing w:val="0"/>
        <w:rPr>
          <w:rFonts w:ascii="Times New Roman" w:hAnsi="Times New Roman"/>
          <w:sz w:val="24"/>
        </w:rPr>
      </w:pPr>
      <w:r w:rsidRPr="00AA6799">
        <w:rPr>
          <w:rFonts w:ascii="Times New Roman" w:hAnsi="Times New Roman"/>
          <w:sz w:val="24"/>
        </w:rPr>
        <w:t>Reviews posted to the incorrect submission</w:t>
      </w:r>
      <w:r w:rsidR="00484C9F">
        <w:rPr>
          <w:rFonts w:ascii="Times New Roman" w:hAnsi="Times New Roman"/>
          <w:sz w:val="24"/>
        </w:rPr>
        <w:t>, missing review section scores and</w:t>
      </w:r>
      <w:r w:rsidR="006A5606">
        <w:rPr>
          <w:rFonts w:ascii="Times New Roman" w:hAnsi="Times New Roman"/>
          <w:sz w:val="24"/>
        </w:rPr>
        <w:t xml:space="preserve"> late submissions</w:t>
      </w:r>
      <w:r w:rsidRPr="00AA6799">
        <w:rPr>
          <w:rFonts w:ascii="Times New Roman" w:hAnsi="Times New Roman"/>
          <w:sz w:val="24"/>
        </w:rPr>
        <w:t xml:space="preserve"> were found with all four conferences.  Each requires additional attention</w:t>
      </w:r>
      <w:r w:rsidR="00C06EFB">
        <w:rPr>
          <w:rFonts w:ascii="Times New Roman" w:hAnsi="Times New Roman"/>
          <w:sz w:val="24"/>
        </w:rPr>
        <w:t xml:space="preserve"> and time</w:t>
      </w:r>
      <w:r w:rsidRPr="00AA6799">
        <w:rPr>
          <w:rFonts w:ascii="Times New Roman" w:hAnsi="Times New Roman"/>
          <w:sz w:val="24"/>
        </w:rPr>
        <w:t xml:space="preserve"> to resolve.</w:t>
      </w:r>
      <w:r w:rsidR="00DC2B7C">
        <w:rPr>
          <w:rFonts w:ascii="Times New Roman" w:hAnsi="Times New Roman"/>
          <w:sz w:val="24"/>
        </w:rPr>
        <w:t xml:space="preserve"> There is no set protocol for dealing with these issues. It is at the discretion of the review and submission manger and the research conference chair. </w:t>
      </w:r>
    </w:p>
    <w:p w14:paraId="3BE52F91" w14:textId="2B170F5D" w:rsidR="00577FD1" w:rsidRPr="00AA6799" w:rsidRDefault="00484C9F" w:rsidP="00E554A7">
      <w:pPr>
        <w:pStyle w:val="ListParagraph"/>
        <w:numPr>
          <w:ilvl w:val="0"/>
          <w:numId w:val="2"/>
        </w:numPr>
        <w:spacing w:before="120"/>
        <w:contextualSpacing w:val="0"/>
        <w:rPr>
          <w:rFonts w:ascii="Times New Roman" w:hAnsi="Times New Roman"/>
          <w:sz w:val="24"/>
        </w:rPr>
      </w:pPr>
      <w:r>
        <w:rPr>
          <w:rFonts w:ascii="Times New Roman" w:hAnsi="Times New Roman"/>
          <w:sz w:val="24"/>
        </w:rPr>
        <w:t>Andrew Thoron has been selected as the AAAE conference review and submission manager for 2019-2022</w:t>
      </w:r>
      <w:r w:rsidR="00577FD1">
        <w:rPr>
          <w:rFonts w:ascii="Times New Roman" w:hAnsi="Times New Roman"/>
          <w:sz w:val="24"/>
        </w:rPr>
        <w:t>.</w:t>
      </w:r>
      <w:r>
        <w:rPr>
          <w:rFonts w:ascii="Times New Roman" w:hAnsi="Times New Roman"/>
          <w:sz w:val="24"/>
        </w:rPr>
        <w:t xml:space="preserve"> He has been trained and is ready to go!</w:t>
      </w:r>
    </w:p>
    <w:p w14:paraId="3CA00D8E" w14:textId="1A47B2B3" w:rsidR="00883F60" w:rsidRDefault="005B2CCE" w:rsidP="00A603AC">
      <w:pPr>
        <w:pStyle w:val="Heading1"/>
        <w:rPr>
          <w:rFonts w:ascii="Times New Roman" w:hAnsi="Times New Roman" w:cs="Times New Roman"/>
          <w:sz w:val="24"/>
          <w:szCs w:val="24"/>
        </w:rPr>
      </w:pPr>
      <w:r>
        <w:rPr>
          <w:rFonts w:ascii="Times New Roman" w:hAnsi="Times New Roman" w:cs="Times New Roman"/>
          <w:sz w:val="24"/>
          <w:szCs w:val="24"/>
        </w:rPr>
        <w:t>Concerns &amp; Possible</w:t>
      </w:r>
      <w:r w:rsidR="006F6A4D" w:rsidRPr="00AA6799">
        <w:rPr>
          <w:rFonts w:ascii="Times New Roman" w:hAnsi="Times New Roman" w:cs="Times New Roman"/>
          <w:sz w:val="24"/>
          <w:szCs w:val="24"/>
        </w:rPr>
        <w:t xml:space="preserve"> Changes to Protocol Guidelines</w:t>
      </w:r>
    </w:p>
    <w:p w14:paraId="74EEDC10" w14:textId="7B4932A8" w:rsidR="005B2CCE" w:rsidRPr="00C06EFB" w:rsidRDefault="005B2CCE" w:rsidP="005B2CCE">
      <w:pPr>
        <w:pStyle w:val="ListParagraph"/>
        <w:numPr>
          <w:ilvl w:val="0"/>
          <w:numId w:val="5"/>
        </w:numPr>
        <w:rPr>
          <w:rFonts w:ascii="Times New Roman" w:hAnsi="Times New Roman"/>
          <w:sz w:val="24"/>
        </w:rPr>
      </w:pPr>
      <w:r w:rsidRPr="00C06EFB">
        <w:rPr>
          <w:rFonts w:ascii="Times New Roman" w:hAnsi="Times New Roman"/>
          <w:sz w:val="24"/>
        </w:rPr>
        <w:t>AAAE member commitment to completing a quality review in a timely manner is</w:t>
      </w:r>
      <w:r w:rsidR="00DC2B7C">
        <w:rPr>
          <w:rFonts w:ascii="Times New Roman" w:hAnsi="Times New Roman"/>
          <w:sz w:val="24"/>
        </w:rPr>
        <w:t xml:space="preserve"> still</w:t>
      </w:r>
      <w:r w:rsidRPr="00C06EFB">
        <w:rPr>
          <w:rFonts w:ascii="Times New Roman" w:hAnsi="Times New Roman"/>
          <w:sz w:val="24"/>
        </w:rPr>
        <w:t xml:space="preserve"> questionable at best.  </w:t>
      </w:r>
    </w:p>
    <w:p w14:paraId="1D083262" w14:textId="645F4050" w:rsidR="005B2CCE" w:rsidRPr="00C06EFB" w:rsidRDefault="005B2CCE" w:rsidP="005B2CCE">
      <w:pPr>
        <w:pStyle w:val="ListParagraph"/>
        <w:numPr>
          <w:ilvl w:val="1"/>
          <w:numId w:val="5"/>
        </w:numPr>
        <w:rPr>
          <w:rFonts w:ascii="Times New Roman" w:hAnsi="Times New Roman"/>
          <w:sz w:val="24"/>
        </w:rPr>
      </w:pPr>
      <w:r w:rsidRPr="00C06EFB">
        <w:rPr>
          <w:rFonts w:ascii="Times New Roman" w:hAnsi="Times New Roman"/>
          <w:sz w:val="24"/>
        </w:rPr>
        <w:t>The assumption of reviewer fatigue that has been raised in r</w:t>
      </w:r>
      <w:r w:rsidR="006A5606" w:rsidRPr="00C06EFB">
        <w:rPr>
          <w:rFonts w:ascii="Times New Roman" w:hAnsi="Times New Roman"/>
          <w:sz w:val="24"/>
        </w:rPr>
        <w:t>ecent years</w:t>
      </w:r>
      <w:r w:rsidR="00B27552" w:rsidRPr="00C06EFB">
        <w:rPr>
          <w:rFonts w:ascii="Times New Roman" w:hAnsi="Times New Roman"/>
          <w:sz w:val="24"/>
        </w:rPr>
        <w:t>.</w:t>
      </w:r>
      <w:r w:rsidR="006A5606" w:rsidRPr="00C06EFB">
        <w:rPr>
          <w:rFonts w:ascii="Times New Roman" w:hAnsi="Times New Roman"/>
          <w:sz w:val="24"/>
        </w:rPr>
        <w:t xml:space="preserve"> Are there potential solutions or is there another model we should explore moving forward?</w:t>
      </w:r>
    </w:p>
    <w:p w14:paraId="025BF0D3" w14:textId="7F766656" w:rsidR="005B2CCE" w:rsidRPr="00C06EFB" w:rsidRDefault="005B2CCE" w:rsidP="00287BD7">
      <w:pPr>
        <w:pStyle w:val="ListParagraph"/>
        <w:numPr>
          <w:ilvl w:val="1"/>
          <w:numId w:val="5"/>
        </w:numPr>
        <w:spacing w:before="120"/>
        <w:contextualSpacing w:val="0"/>
        <w:rPr>
          <w:rFonts w:ascii="Times New Roman" w:hAnsi="Times New Roman"/>
          <w:sz w:val="24"/>
        </w:rPr>
      </w:pPr>
      <w:r w:rsidRPr="00C06EFB">
        <w:rPr>
          <w:rFonts w:ascii="Times New Roman" w:hAnsi="Times New Roman"/>
          <w:sz w:val="24"/>
        </w:rPr>
        <w:t>While the frequency of no to little comments</w:t>
      </w:r>
      <w:r w:rsidR="00B04F32" w:rsidRPr="00C06EFB">
        <w:rPr>
          <w:rFonts w:ascii="Times New Roman" w:hAnsi="Times New Roman"/>
          <w:sz w:val="24"/>
        </w:rPr>
        <w:t>/feedback to the author declined</w:t>
      </w:r>
      <w:r w:rsidRPr="00C06EFB">
        <w:rPr>
          <w:rFonts w:ascii="Times New Roman" w:hAnsi="Times New Roman"/>
          <w:sz w:val="24"/>
        </w:rPr>
        <w:t xml:space="preserve"> this past year, </w:t>
      </w:r>
      <w:r w:rsidR="00B04F32" w:rsidRPr="00C06EFB">
        <w:rPr>
          <w:rFonts w:ascii="Times New Roman" w:hAnsi="Times New Roman"/>
          <w:sz w:val="24"/>
        </w:rPr>
        <w:t xml:space="preserve">we </w:t>
      </w:r>
      <w:r w:rsidRPr="00C06EFB">
        <w:rPr>
          <w:rFonts w:ascii="Times New Roman" w:hAnsi="Times New Roman"/>
          <w:sz w:val="24"/>
        </w:rPr>
        <w:t>continue to have papers with no comments (numbers only)</w:t>
      </w:r>
      <w:r w:rsidR="0096572A" w:rsidRPr="00C06EFB">
        <w:rPr>
          <w:rFonts w:ascii="Times New Roman" w:hAnsi="Times New Roman"/>
          <w:sz w:val="24"/>
        </w:rPr>
        <w:t>.</w:t>
      </w:r>
      <w:r w:rsidRPr="00C06EFB">
        <w:rPr>
          <w:rFonts w:ascii="Times New Roman" w:hAnsi="Times New Roman"/>
          <w:sz w:val="24"/>
        </w:rPr>
        <w:t xml:space="preserve"> </w:t>
      </w:r>
    </w:p>
    <w:p w14:paraId="16754CA6" w14:textId="2DE7B343" w:rsidR="005B2CCE" w:rsidRPr="00C06EFB" w:rsidRDefault="005B2CCE" w:rsidP="00287BD7">
      <w:pPr>
        <w:pStyle w:val="ListParagraph"/>
        <w:numPr>
          <w:ilvl w:val="0"/>
          <w:numId w:val="5"/>
        </w:numPr>
        <w:contextualSpacing w:val="0"/>
        <w:rPr>
          <w:rFonts w:ascii="Times New Roman" w:hAnsi="Times New Roman"/>
          <w:sz w:val="24"/>
        </w:rPr>
      </w:pPr>
      <w:r w:rsidRPr="00C06EFB">
        <w:rPr>
          <w:rFonts w:ascii="Times New Roman" w:hAnsi="Times New Roman"/>
          <w:sz w:val="24"/>
        </w:rPr>
        <w:t>We continue to have members who do not</w:t>
      </w:r>
      <w:r w:rsidR="00100C91">
        <w:rPr>
          <w:rFonts w:ascii="Times New Roman" w:hAnsi="Times New Roman"/>
          <w:sz w:val="24"/>
        </w:rPr>
        <w:t xml:space="preserve"> accept invitations to review. </w:t>
      </w:r>
      <w:r w:rsidRPr="00C06EFB">
        <w:rPr>
          <w:rFonts w:ascii="Times New Roman" w:hAnsi="Times New Roman"/>
          <w:sz w:val="24"/>
        </w:rPr>
        <w:t>Some for more than two years.</w:t>
      </w:r>
    </w:p>
    <w:p w14:paraId="1C068BF9" w14:textId="422944E0" w:rsidR="005B2CCE" w:rsidRPr="00C06EFB" w:rsidRDefault="006966C8" w:rsidP="005B2CCE">
      <w:pPr>
        <w:pStyle w:val="ListParagraph"/>
        <w:numPr>
          <w:ilvl w:val="1"/>
          <w:numId w:val="5"/>
        </w:numPr>
        <w:rPr>
          <w:rFonts w:ascii="Times New Roman" w:hAnsi="Times New Roman"/>
          <w:sz w:val="24"/>
        </w:rPr>
      </w:pPr>
      <w:r w:rsidRPr="00C06EFB">
        <w:rPr>
          <w:rFonts w:ascii="Times New Roman" w:hAnsi="Times New Roman"/>
          <w:sz w:val="24"/>
        </w:rPr>
        <w:t>The</w:t>
      </w:r>
      <w:r w:rsidR="005B2CCE" w:rsidRPr="00C06EFB">
        <w:rPr>
          <w:rFonts w:ascii="Times New Roman" w:hAnsi="Times New Roman"/>
          <w:sz w:val="24"/>
        </w:rPr>
        <w:t xml:space="preserve"> </w:t>
      </w:r>
      <w:r w:rsidR="0096572A" w:rsidRPr="00C06EFB">
        <w:rPr>
          <w:rFonts w:ascii="Times New Roman" w:hAnsi="Times New Roman"/>
          <w:sz w:val="24"/>
        </w:rPr>
        <w:t>Review Process Manager has and will continue</w:t>
      </w:r>
      <w:r w:rsidR="005B2CCE" w:rsidRPr="00C06EFB">
        <w:rPr>
          <w:rFonts w:ascii="Times New Roman" w:hAnsi="Times New Roman"/>
          <w:sz w:val="24"/>
        </w:rPr>
        <w:t xml:space="preserve"> to adjust member profiles to remove the willing to review indicator</w:t>
      </w:r>
      <w:r w:rsidRPr="00C06EFB">
        <w:rPr>
          <w:rFonts w:ascii="Times New Roman" w:hAnsi="Times New Roman"/>
          <w:sz w:val="24"/>
        </w:rPr>
        <w:t xml:space="preserve"> from those profiles of member who have demonstrated a lack of willingness to help the pr</w:t>
      </w:r>
      <w:bookmarkStart w:id="0" w:name="_GoBack"/>
      <w:bookmarkEnd w:id="0"/>
      <w:r w:rsidRPr="00C06EFB">
        <w:rPr>
          <w:rFonts w:ascii="Times New Roman" w:hAnsi="Times New Roman"/>
          <w:sz w:val="24"/>
        </w:rPr>
        <w:t>ofession in this review process.</w:t>
      </w:r>
      <w:r w:rsidR="0078655E" w:rsidRPr="00C06EFB">
        <w:rPr>
          <w:rFonts w:ascii="Times New Roman" w:hAnsi="Times New Roman"/>
          <w:sz w:val="24"/>
        </w:rPr>
        <w:t xml:space="preserve"> </w:t>
      </w:r>
      <w:r w:rsidR="0078655E" w:rsidRPr="00C06EFB">
        <w:rPr>
          <w:rFonts w:ascii="Times New Roman" w:hAnsi="Times New Roman"/>
          <w:sz w:val="24"/>
        </w:rPr>
        <w:lastRenderedPageBreak/>
        <w:t>(Very time consuming)</w:t>
      </w:r>
      <w:r w:rsidR="00DC2B7C">
        <w:rPr>
          <w:rFonts w:ascii="Times New Roman" w:hAnsi="Times New Roman"/>
          <w:sz w:val="24"/>
        </w:rPr>
        <w:t xml:space="preserve"> Several faculty members requested that they be removed from the system this past year.</w:t>
      </w:r>
    </w:p>
    <w:p w14:paraId="59842D50" w14:textId="05F4B030" w:rsidR="00DC2B7C" w:rsidRPr="00DC2B7C" w:rsidRDefault="00DC2B7C" w:rsidP="00DC2B7C">
      <w:pPr>
        <w:pStyle w:val="ListParagraph"/>
        <w:numPr>
          <w:ilvl w:val="0"/>
          <w:numId w:val="5"/>
        </w:numPr>
        <w:contextualSpacing w:val="0"/>
        <w:rPr>
          <w:rFonts w:ascii="Times New Roman" w:hAnsi="Times New Roman"/>
          <w:sz w:val="24"/>
        </w:rPr>
      </w:pPr>
      <w:r>
        <w:rPr>
          <w:rFonts w:ascii="Times New Roman" w:hAnsi="Times New Roman"/>
          <w:sz w:val="24"/>
        </w:rPr>
        <w:t>The AAAE protocol guidelines for conference paper selection, presentations and awards was last amended in May 2010. Perhaps it is time to revisit these guidelines.</w:t>
      </w:r>
    </w:p>
    <w:p w14:paraId="734DBF78" w14:textId="3501B6DC" w:rsidR="005B2CCE" w:rsidRPr="00C06EFB" w:rsidRDefault="00287BD7" w:rsidP="00287BD7">
      <w:pPr>
        <w:pStyle w:val="ListParagraph"/>
        <w:numPr>
          <w:ilvl w:val="0"/>
          <w:numId w:val="5"/>
        </w:numPr>
        <w:contextualSpacing w:val="0"/>
        <w:rPr>
          <w:rFonts w:ascii="Times New Roman" w:hAnsi="Times New Roman"/>
          <w:sz w:val="24"/>
        </w:rPr>
      </w:pPr>
      <w:r w:rsidRPr="00C06EFB">
        <w:rPr>
          <w:rFonts w:ascii="Times New Roman" w:hAnsi="Times New Roman"/>
          <w:sz w:val="24"/>
        </w:rPr>
        <w:t>W</w:t>
      </w:r>
      <w:r w:rsidR="00DC2B7C">
        <w:rPr>
          <w:rFonts w:ascii="Times New Roman" w:hAnsi="Times New Roman"/>
          <w:sz w:val="24"/>
        </w:rPr>
        <w:t>e have a relatively new</w:t>
      </w:r>
      <w:r w:rsidR="005B2CCE" w:rsidRPr="00C06EFB">
        <w:rPr>
          <w:rFonts w:ascii="Times New Roman" w:hAnsi="Times New Roman"/>
          <w:sz w:val="24"/>
        </w:rPr>
        <w:t xml:space="preserve"> research agenda</w:t>
      </w:r>
      <w:r w:rsidR="00B27552" w:rsidRPr="00C06EFB">
        <w:rPr>
          <w:rFonts w:ascii="Times New Roman" w:hAnsi="Times New Roman"/>
          <w:sz w:val="24"/>
        </w:rPr>
        <w:t>. The review form was updated</w:t>
      </w:r>
      <w:r w:rsidR="00B04F32" w:rsidRPr="00C06EFB">
        <w:rPr>
          <w:rFonts w:ascii="Times New Roman" w:hAnsi="Times New Roman"/>
          <w:sz w:val="24"/>
        </w:rPr>
        <w:t xml:space="preserve"> in summer 2016 to reflect this, however, a small percentage of the profession has updated their profile, which gives the review process manager little data to work with when assigning reviews. </w:t>
      </w:r>
    </w:p>
    <w:p w14:paraId="62649E6A" w14:textId="131C21EF" w:rsidR="00577FD1" w:rsidRPr="00C06EFB" w:rsidRDefault="00577FD1" w:rsidP="00287BD7">
      <w:pPr>
        <w:pStyle w:val="ListParagraph"/>
        <w:numPr>
          <w:ilvl w:val="0"/>
          <w:numId w:val="5"/>
        </w:numPr>
        <w:contextualSpacing w:val="0"/>
        <w:rPr>
          <w:rFonts w:ascii="Times New Roman" w:hAnsi="Times New Roman"/>
          <w:sz w:val="24"/>
        </w:rPr>
      </w:pPr>
      <w:r w:rsidRPr="00C06EFB">
        <w:rPr>
          <w:rFonts w:ascii="Times New Roman" w:hAnsi="Times New Roman"/>
          <w:sz w:val="24"/>
        </w:rPr>
        <w:t xml:space="preserve">A large number of papers submitted in our profession are designated as qualitative or mixed methods by the authors during submission. Few reviewers match that methodology in their profile. Nearly impossible to match with quality reviewers. </w:t>
      </w:r>
    </w:p>
    <w:p w14:paraId="56B905B0" w14:textId="01891FA9" w:rsidR="00577FD1" w:rsidRPr="00C06EFB" w:rsidRDefault="00577FD1" w:rsidP="00287BD7">
      <w:pPr>
        <w:pStyle w:val="ListParagraph"/>
        <w:numPr>
          <w:ilvl w:val="0"/>
          <w:numId w:val="5"/>
        </w:numPr>
        <w:contextualSpacing w:val="0"/>
        <w:rPr>
          <w:rFonts w:ascii="Times New Roman" w:hAnsi="Times New Roman"/>
          <w:sz w:val="24"/>
        </w:rPr>
      </w:pPr>
      <w:r w:rsidRPr="00C06EFB">
        <w:rPr>
          <w:rFonts w:ascii="Times New Roman" w:hAnsi="Times New Roman"/>
          <w:sz w:val="24"/>
        </w:rPr>
        <w:t xml:space="preserve">It is </w:t>
      </w:r>
      <w:r w:rsidR="00100C91">
        <w:rPr>
          <w:rFonts w:ascii="Times New Roman" w:hAnsi="Times New Roman"/>
          <w:sz w:val="24"/>
        </w:rPr>
        <w:t xml:space="preserve">increasingly </w:t>
      </w:r>
      <w:r w:rsidRPr="00C06EFB">
        <w:rPr>
          <w:rFonts w:ascii="Times New Roman" w:hAnsi="Times New Roman"/>
          <w:sz w:val="24"/>
        </w:rPr>
        <w:t xml:space="preserve">difficult </w:t>
      </w:r>
      <w:r w:rsidR="00100C91">
        <w:rPr>
          <w:rFonts w:ascii="Times New Roman" w:hAnsi="Times New Roman"/>
          <w:sz w:val="24"/>
        </w:rPr>
        <w:t>to complete the review process for</w:t>
      </w:r>
      <w:r w:rsidRPr="00C06EFB">
        <w:rPr>
          <w:rFonts w:ascii="Times New Roman" w:hAnsi="Times New Roman"/>
          <w:sz w:val="24"/>
        </w:rPr>
        <w:t xml:space="preserve"> Nor</w:t>
      </w:r>
      <w:r w:rsidR="00100C91">
        <w:rPr>
          <w:rFonts w:ascii="Times New Roman" w:hAnsi="Times New Roman"/>
          <w:sz w:val="24"/>
        </w:rPr>
        <w:t>th Central region due to reviews being requested during the latter part of summer when most faculty are not on duty</w:t>
      </w:r>
      <w:r w:rsidRPr="00C06EFB">
        <w:rPr>
          <w:rFonts w:ascii="Times New Roman" w:hAnsi="Times New Roman"/>
          <w:sz w:val="24"/>
        </w:rPr>
        <w:t xml:space="preserve">. </w:t>
      </w:r>
      <w:r w:rsidR="00100C91">
        <w:rPr>
          <w:rFonts w:ascii="Times New Roman" w:hAnsi="Times New Roman"/>
          <w:sz w:val="24"/>
        </w:rPr>
        <w:t xml:space="preserve">This should be considered by the region to alleviate pressure on the conference review and submission manger. </w:t>
      </w:r>
    </w:p>
    <w:p w14:paraId="5C15D31B" w14:textId="3EDD0053" w:rsidR="00C06EFB" w:rsidRPr="00C06EFB" w:rsidRDefault="00DC2B7C" w:rsidP="00287BD7">
      <w:pPr>
        <w:pStyle w:val="ListParagraph"/>
        <w:numPr>
          <w:ilvl w:val="0"/>
          <w:numId w:val="5"/>
        </w:numPr>
        <w:contextualSpacing w:val="0"/>
        <w:rPr>
          <w:rFonts w:ascii="Times New Roman" w:hAnsi="Times New Roman"/>
          <w:sz w:val="24"/>
        </w:rPr>
      </w:pPr>
      <w:r>
        <w:rPr>
          <w:rFonts w:ascii="Times New Roman" w:hAnsi="Times New Roman"/>
          <w:sz w:val="24"/>
        </w:rPr>
        <w:t>There were fewer</w:t>
      </w:r>
      <w:r w:rsidR="00C06EFB" w:rsidRPr="00C06EFB">
        <w:rPr>
          <w:rFonts w:ascii="Times New Roman" w:hAnsi="Times New Roman"/>
          <w:sz w:val="24"/>
        </w:rPr>
        <w:t xml:space="preserve"> technical issues with FastTrack during the las</w:t>
      </w:r>
      <w:r>
        <w:rPr>
          <w:rFonts w:ascii="Times New Roman" w:hAnsi="Times New Roman"/>
          <w:sz w:val="24"/>
        </w:rPr>
        <w:t>t year.</w:t>
      </w:r>
      <w:r w:rsidR="00C06EFB" w:rsidRPr="00C06EFB">
        <w:rPr>
          <w:rFonts w:ascii="Times New Roman" w:hAnsi="Times New Roman"/>
          <w:sz w:val="24"/>
        </w:rPr>
        <w:t xml:space="preserve"> </w:t>
      </w:r>
      <w:r w:rsidRPr="00C06EFB">
        <w:rPr>
          <w:rFonts w:ascii="Times New Roman" w:hAnsi="Times New Roman"/>
          <w:sz w:val="24"/>
        </w:rPr>
        <w:t>The</w:t>
      </w:r>
      <w:r w:rsidR="00C06EFB" w:rsidRPr="00C06EFB">
        <w:rPr>
          <w:rFonts w:ascii="Times New Roman" w:hAnsi="Times New Roman"/>
          <w:sz w:val="24"/>
        </w:rPr>
        <w:t xml:space="preserve"> challenges posed by university filters and firewalls</w:t>
      </w:r>
      <w:r>
        <w:rPr>
          <w:rFonts w:ascii="Times New Roman" w:hAnsi="Times New Roman"/>
          <w:sz w:val="24"/>
        </w:rPr>
        <w:t xml:space="preserve"> seemed minimal this past year. </w:t>
      </w:r>
      <w:r w:rsidR="00C06EFB" w:rsidRPr="00C06EFB">
        <w:rPr>
          <w:rFonts w:ascii="Times New Roman" w:hAnsi="Times New Roman"/>
          <w:sz w:val="24"/>
        </w:rPr>
        <w:t xml:space="preserve"> </w:t>
      </w:r>
    </w:p>
    <w:sectPr w:rsidR="00C06EFB" w:rsidRPr="00C06EFB" w:rsidSect="008B7DF7">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58FA"/>
    <w:multiLevelType w:val="hybridMultilevel"/>
    <w:tmpl w:val="5D26CFF8"/>
    <w:lvl w:ilvl="0" w:tplc="0FBCF2A2">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40802"/>
    <w:multiLevelType w:val="hybridMultilevel"/>
    <w:tmpl w:val="BD005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30504"/>
    <w:multiLevelType w:val="hybridMultilevel"/>
    <w:tmpl w:val="BD005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C53B2"/>
    <w:multiLevelType w:val="hybridMultilevel"/>
    <w:tmpl w:val="81169CA6"/>
    <w:lvl w:ilvl="0" w:tplc="0FBCF2A2">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70900"/>
    <w:multiLevelType w:val="hybridMultilevel"/>
    <w:tmpl w:val="0DD60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79"/>
    <w:rsid w:val="00032CCB"/>
    <w:rsid w:val="0008064B"/>
    <w:rsid w:val="00086178"/>
    <w:rsid w:val="000A61FF"/>
    <w:rsid w:val="000D6B33"/>
    <w:rsid w:val="00100C91"/>
    <w:rsid w:val="00124338"/>
    <w:rsid w:val="00131DE6"/>
    <w:rsid w:val="00162454"/>
    <w:rsid w:val="001A371C"/>
    <w:rsid w:val="001F0203"/>
    <w:rsid w:val="00285C6D"/>
    <w:rsid w:val="00287805"/>
    <w:rsid w:val="00287BD7"/>
    <w:rsid w:val="003238A3"/>
    <w:rsid w:val="003279A9"/>
    <w:rsid w:val="00357D81"/>
    <w:rsid w:val="003D54F5"/>
    <w:rsid w:val="00484C9F"/>
    <w:rsid w:val="004C4A0F"/>
    <w:rsid w:val="0050162D"/>
    <w:rsid w:val="00553F0D"/>
    <w:rsid w:val="00577FD1"/>
    <w:rsid w:val="005B2CCE"/>
    <w:rsid w:val="006411BC"/>
    <w:rsid w:val="006439C4"/>
    <w:rsid w:val="0068286E"/>
    <w:rsid w:val="006966C8"/>
    <w:rsid w:val="006A5606"/>
    <w:rsid w:val="006B31B6"/>
    <w:rsid w:val="006C13F3"/>
    <w:rsid w:val="006F6A4D"/>
    <w:rsid w:val="00746DF3"/>
    <w:rsid w:val="0078655E"/>
    <w:rsid w:val="007C6B04"/>
    <w:rsid w:val="007E3693"/>
    <w:rsid w:val="007F34A0"/>
    <w:rsid w:val="008407AC"/>
    <w:rsid w:val="0085725D"/>
    <w:rsid w:val="00860D06"/>
    <w:rsid w:val="00883F60"/>
    <w:rsid w:val="008A7900"/>
    <w:rsid w:val="008A7975"/>
    <w:rsid w:val="008B7DF7"/>
    <w:rsid w:val="00906CF8"/>
    <w:rsid w:val="0091145E"/>
    <w:rsid w:val="0096572A"/>
    <w:rsid w:val="009B35C3"/>
    <w:rsid w:val="00A015F4"/>
    <w:rsid w:val="00A548B1"/>
    <w:rsid w:val="00A603AC"/>
    <w:rsid w:val="00AA6799"/>
    <w:rsid w:val="00B04F32"/>
    <w:rsid w:val="00B27552"/>
    <w:rsid w:val="00B86ED4"/>
    <w:rsid w:val="00BB31E6"/>
    <w:rsid w:val="00C06EFB"/>
    <w:rsid w:val="00C82E8F"/>
    <w:rsid w:val="00CB1F6B"/>
    <w:rsid w:val="00CB7EC6"/>
    <w:rsid w:val="00CE4F07"/>
    <w:rsid w:val="00D77D55"/>
    <w:rsid w:val="00DA6D18"/>
    <w:rsid w:val="00DB34B5"/>
    <w:rsid w:val="00DC2B7C"/>
    <w:rsid w:val="00E27694"/>
    <w:rsid w:val="00E4312E"/>
    <w:rsid w:val="00E554A7"/>
    <w:rsid w:val="00EF0079"/>
    <w:rsid w:val="00F77A8B"/>
    <w:rsid w:val="00FA1443"/>
    <w:rsid w:val="00FE5F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522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1B"/>
    <w:pPr>
      <w:spacing w:before="240"/>
    </w:pPr>
    <w:rPr>
      <w:rFonts w:ascii="Arial" w:hAnsi="Arial" w:cs="Times New Roman"/>
      <w:sz w:val="22"/>
    </w:rPr>
  </w:style>
  <w:style w:type="paragraph" w:styleId="Heading1">
    <w:name w:val="heading 1"/>
    <w:basedOn w:val="Normal"/>
    <w:next w:val="Normal"/>
    <w:link w:val="Heading1Char"/>
    <w:autoRedefine/>
    <w:rsid w:val="00A603AC"/>
    <w:pPr>
      <w:keepNext/>
      <w:keepLines/>
      <w:widowControl w:val="0"/>
      <w:outlineLvl w:val="0"/>
    </w:pPr>
    <w:rPr>
      <w:rFonts w:eastAsiaTheme="majorEastAsia" w:cstheme="majorBidi"/>
      <w:b/>
      <w:bCs/>
      <w:color w:val="000000" w:themeColor="text1"/>
      <w:szCs w:val="32"/>
    </w:rPr>
  </w:style>
  <w:style w:type="paragraph" w:styleId="Heading2">
    <w:name w:val="heading 2"/>
    <w:basedOn w:val="Normal"/>
    <w:next w:val="Normal"/>
    <w:link w:val="Heading2Char"/>
    <w:rsid w:val="00D53841"/>
    <w:pPr>
      <w:keepNext/>
      <w:keepLines/>
      <w:spacing w:before="200"/>
      <w:ind w:left="432"/>
      <w:outlineLvl w:val="1"/>
    </w:pPr>
    <w:rPr>
      <w:rFonts w:ascii="Times New Roman" w:eastAsiaTheme="majorEastAsia" w:hAnsi="Times New Roman" w:cstheme="majorBidi"/>
      <w:bCs/>
      <w:i/>
      <w:color w:val="000000" w:themeColor="text1"/>
      <w:sz w:val="24"/>
      <w:szCs w:val="26"/>
    </w:rPr>
  </w:style>
  <w:style w:type="paragraph" w:styleId="Heading3">
    <w:name w:val="heading 3"/>
    <w:basedOn w:val="Normal"/>
    <w:next w:val="Normal"/>
    <w:link w:val="Heading3Char"/>
    <w:autoRedefine/>
    <w:rsid w:val="00F72410"/>
    <w:pPr>
      <w:keepNext/>
      <w:spacing w:before="120"/>
      <w:ind w:left="720"/>
      <w:outlineLvl w:val="2"/>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60D06"/>
    <w:pPr>
      <w:spacing w:before="0"/>
      <w:jc w:val="center"/>
    </w:pPr>
    <w:rPr>
      <w:rFonts w:eastAsia="Times New Roman"/>
      <w:b/>
      <w:color w:val="000000"/>
      <w:sz w:val="28"/>
      <w:szCs w:val="52"/>
    </w:rPr>
  </w:style>
  <w:style w:type="character" w:customStyle="1" w:styleId="TitleChar">
    <w:name w:val="Title Char"/>
    <w:basedOn w:val="DefaultParagraphFont"/>
    <w:link w:val="Title"/>
    <w:uiPriority w:val="10"/>
    <w:rsid w:val="00860D06"/>
    <w:rPr>
      <w:rFonts w:ascii="Arial" w:eastAsia="Times New Roman" w:hAnsi="Arial" w:cs="Times New Roman"/>
      <w:b/>
      <w:color w:val="000000"/>
      <w:sz w:val="28"/>
      <w:szCs w:val="52"/>
    </w:rPr>
  </w:style>
  <w:style w:type="paragraph" w:styleId="Subtitle">
    <w:name w:val="Subtitle"/>
    <w:basedOn w:val="Normal"/>
    <w:next w:val="Normal"/>
    <w:link w:val="SubtitleChar"/>
    <w:autoRedefine/>
    <w:rsid w:val="008B7DF7"/>
    <w:pPr>
      <w:spacing w:before="120" w:after="360"/>
      <w:jc w:val="center"/>
      <w:outlineLvl w:val="1"/>
    </w:pPr>
    <w:rPr>
      <w:rFonts w:eastAsiaTheme="majorEastAsia" w:cstheme="majorBidi"/>
      <w:i/>
      <w:sz w:val="20"/>
    </w:rPr>
  </w:style>
  <w:style w:type="character" w:customStyle="1" w:styleId="SubtitleChar">
    <w:name w:val="Subtitle Char"/>
    <w:basedOn w:val="DefaultParagraphFont"/>
    <w:link w:val="Subtitle"/>
    <w:rsid w:val="008B7DF7"/>
    <w:rPr>
      <w:rFonts w:ascii="Arial" w:eastAsiaTheme="majorEastAsia" w:hAnsi="Arial" w:cstheme="majorBidi"/>
      <w:i/>
      <w:sz w:val="20"/>
    </w:rPr>
  </w:style>
  <w:style w:type="character" w:customStyle="1" w:styleId="Heading1Char">
    <w:name w:val="Heading 1 Char"/>
    <w:basedOn w:val="DefaultParagraphFont"/>
    <w:link w:val="Heading1"/>
    <w:rsid w:val="00A603AC"/>
    <w:rPr>
      <w:rFonts w:ascii="Arial" w:eastAsiaTheme="majorEastAsia" w:hAnsi="Arial" w:cstheme="majorBidi"/>
      <w:b/>
      <w:bCs/>
      <w:color w:val="000000" w:themeColor="text1"/>
      <w:sz w:val="22"/>
      <w:szCs w:val="32"/>
    </w:rPr>
  </w:style>
  <w:style w:type="character" w:customStyle="1" w:styleId="Heading2Char">
    <w:name w:val="Heading 2 Char"/>
    <w:basedOn w:val="DefaultParagraphFont"/>
    <w:link w:val="Heading2"/>
    <w:rsid w:val="00D53841"/>
    <w:rPr>
      <w:rFonts w:ascii="Times New Roman" w:eastAsiaTheme="majorEastAsia" w:hAnsi="Times New Roman" w:cstheme="majorBidi"/>
      <w:bCs/>
      <w:i/>
      <w:color w:val="000000" w:themeColor="text1"/>
      <w:sz w:val="24"/>
      <w:szCs w:val="26"/>
    </w:rPr>
  </w:style>
  <w:style w:type="character" w:customStyle="1" w:styleId="Heading3Char">
    <w:name w:val="Heading 3 Char"/>
    <w:basedOn w:val="DefaultParagraphFont"/>
    <w:link w:val="Heading3"/>
    <w:rsid w:val="00F72410"/>
    <w:rPr>
      <w:rFonts w:ascii="Arial" w:eastAsiaTheme="majorEastAsia" w:hAnsi="Arial" w:cstheme="majorBidi"/>
      <w:bCs/>
      <w:sz w:val="22"/>
      <w:szCs w:val="26"/>
      <w:u w:val="single"/>
    </w:rPr>
  </w:style>
  <w:style w:type="paragraph" w:styleId="Bibliography">
    <w:name w:val="Bibliography"/>
    <w:basedOn w:val="Normal"/>
    <w:next w:val="Normal"/>
    <w:unhideWhenUsed/>
    <w:rsid w:val="00D53841"/>
    <w:pPr>
      <w:spacing w:before="120"/>
      <w:ind w:left="720" w:hanging="720"/>
    </w:pPr>
    <w:rPr>
      <w:rFonts w:ascii="Times New Roman" w:eastAsia="Calibri" w:hAnsi="Times New Roman"/>
      <w:color w:val="000000" w:themeColor="text1"/>
      <w:sz w:val="24"/>
      <w:szCs w:val="22"/>
    </w:rPr>
  </w:style>
  <w:style w:type="table" w:styleId="TableGrid">
    <w:name w:val="Table Grid"/>
    <w:basedOn w:val="TableNormal"/>
    <w:rsid w:val="00883F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A548B1"/>
    <w:pPr>
      <w:ind w:left="720"/>
      <w:contextualSpacing/>
    </w:pPr>
  </w:style>
  <w:style w:type="paragraph" w:styleId="BalloonText">
    <w:name w:val="Balloon Text"/>
    <w:basedOn w:val="Normal"/>
    <w:link w:val="BalloonTextChar"/>
    <w:rsid w:val="0068286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6828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TTU Ag Education &amp; Communications</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Doerfert</dc:creator>
  <cp:keywords/>
  <cp:lastModifiedBy>Rayfield, John</cp:lastModifiedBy>
  <cp:revision>2</cp:revision>
  <cp:lastPrinted>2018-05-14T21:01:00Z</cp:lastPrinted>
  <dcterms:created xsi:type="dcterms:W3CDTF">2019-05-14T19:45:00Z</dcterms:created>
  <dcterms:modified xsi:type="dcterms:W3CDTF">2019-05-14T19:45:00Z</dcterms:modified>
</cp:coreProperties>
</file>